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RPr="0042619A" w:rsidTr="006816EC">
        <w:trPr>
          <w:jc w:val="center"/>
        </w:trPr>
        <w:tc>
          <w:tcPr>
            <w:tcW w:w="743" w:type="dxa"/>
            <w:hideMark/>
          </w:tcPr>
          <w:p w:rsidR="006816EC" w:rsidRPr="0042619A" w:rsidRDefault="006816EC">
            <w:pPr>
              <w:jc w:val="both"/>
              <w:rPr>
                <w:rFonts w:ascii="FrankRuehl" w:hAnsi="FrankRuehl" w:cs="FrankRuehl"/>
                <w:b/>
                <w:bCs/>
                <w:sz w:val="28"/>
                <w:szCs w:val="28"/>
              </w:rPr>
            </w:pPr>
            <w:bookmarkStart w:id="0" w:name="_GoBack"/>
            <w:bookmarkEnd w:id="0"/>
            <w:r w:rsidRPr="0042619A">
              <w:rPr>
                <w:rFonts w:ascii="FrankRuehl" w:hAnsi="FrankRuehl" w:cs="FrankRuehl"/>
                <w:b/>
                <w:bCs/>
                <w:sz w:val="28"/>
                <w:szCs w:val="28"/>
                <w:rtl/>
              </w:rPr>
              <w:t xml:space="preserve">בפני </w:t>
            </w:r>
          </w:p>
        </w:tc>
        <w:tc>
          <w:tcPr>
            <w:tcW w:w="8077" w:type="dxa"/>
            <w:gridSpan w:val="2"/>
            <w:hideMark/>
          </w:tcPr>
          <w:p w:rsidR="006816EC" w:rsidRPr="0042619A" w:rsidRDefault="00B32C61" w:rsidP="006816EC">
            <w:pPr>
              <w:rPr>
                <w:rFonts w:ascii="FrankRuehl" w:hAnsi="FrankRuehl" w:cs="FrankRuehl"/>
                <w:b/>
                <w:bCs/>
                <w:sz w:val="28"/>
                <w:szCs w:val="28"/>
                <w:rtl/>
              </w:rPr>
            </w:pPr>
            <w:r w:rsidRPr="0042619A">
              <w:rPr>
                <w:rFonts w:ascii="FrankRuehl" w:hAnsi="FrankRuehl" w:cs="FrankRuehl"/>
                <w:b/>
                <w:bCs/>
                <w:sz w:val="28"/>
                <w:szCs w:val="28"/>
                <w:rtl/>
              </w:rPr>
              <w:t>כבוד</w:t>
            </w:r>
            <w:r w:rsidR="006816EC" w:rsidRPr="0042619A">
              <w:rPr>
                <w:rFonts w:ascii="FrankRuehl" w:hAnsi="FrankRuehl" w:cs="FrankRuehl"/>
                <w:b/>
                <w:bCs/>
                <w:sz w:val="28"/>
                <w:szCs w:val="28"/>
                <w:rtl/>
              </w:rPr>
              <w:t xml:space="preserve"> ה</w:t>
            </w:r>
            <w:r w:rsidRPr="0042619A">
              <w:rPr>
                <w:rFonts w:ascii="FrankRuehl" w:hAnsi="FrankRuehl" w:cs="FrankRuehl"/>
                <w:b/>
                <w:bCs/>
                <w:sz w:val="28"/>
                <w:szCs w:val="28"/>
                <w:rtl/>
              </w:rPr>
              <w:t>שופטת</w:t>
            </w:r>
            <w:r w:rsidR="006816EC" w:rsidRPr="0042619A">
              <w:rPr>
                <w:rFonts w:ascii="FrankRuehl" w:hAnsi="FrankRuehl" w:cs="FrankRuehl"/>
                <w:b/>
                <w:bCs/>
                <w:sz w:val="28"/>
                <w:szCs w:val="28"/>
                <w:rtl/>
              </w:rPr>
              <w:t xml:space="preserve">  </w:t>
            </w:r>
            <w:r w:rsidRPr="0042619A">
              <w:rPr>
                <w:rFonts w:ascii="FrankRuehl" w:hAnsi="FrankRuehl" w:cs="FrankRuehl"/>
                <w:b/>
                <w:bCs/>
                <w:sz w:val="28"/>
                <w:szCs w:val="28"/>
                <w:rtl/>
              </w:rPr>
              <w:t>הילה גורביץ עובדיה</w:t>
            </w:r>
          </w:p>
          <w:p w:rsidR="006816EC" w:rsidRPr="0042619A" w:rsidRDefault="006816EC" w:rsidP="006816EC">
            <w:pPr>
              <w:rPr>
                <w:rFonts w:ascii="FrankRuehl" w:hAnsi="FrankRuehl" w:cs="FrankRuehl"/>
                <w:sz w:val="28"/>
                <w:szCs w:val="28"/>
              </w:rPr>
            </w:pPr>
          </w:p>
        </w:tc>
      </w:tr>
      <w:tr w:rsidR="006816EC" w:rsidRPr="0042619A" w:rsidTr="006816EC">
        <w:trPr>
          <w:jc w:val="center"/>
        </w:trPr>
        <w:tc>
          <w:tcPr>
            <w:tcW w:w="3249" w:type="dxa"/>
            <w:gridSpan w:val="2"/>
          </w:tcPr>
          <w:p w:rsidR="00A257F0" w:rsidRPr="0042619A" w:rsidRDefault="0042619A">
            <w:pPr>
              <w:rPr>
                <w:rFonts w:ascii="FrankRuehl" w:hAnsi="FrankRuehl" w:cs="FrankRuehl"/>
                <w:b/>
                <w:bCs/>
                <w:noProof w:val="0"/>
                <w:sz w:val="28"/>
                <w:szCs w:val="28"/>
              </w:rPr>
            </w:pPr>
            <w:r>
              <w:rPr>
                <w:rFonts w:ascii="FrankRuehl" w:hAnsi="FrankRuehl" w:cs="FrankRuehl" w:hint="cs"/>
                <w:b/>
                <w:bCs/>
                <w:noProof w:val="0"/>
                <w:sz w:val="28"/>
                <w:szCs w:val="28"/>
                <w:rtl/>
              </w:rPr>
              <w:t>המבקשת:</w:t>
            </w:r>
          </w:p>
        </w:tc>
        <w:tc>
          <w:tcPr>
            <w:tcW w:w="5571" w:type="dxa"/>
          </w:tcPr>
          <w:p w:rsidR="0042619A" w:rsidRDefault="00E44DDF" w:rsidP="00540224">
            <w:pPr>
              <w:rPr>
                <w:rFonts w:ascii="FrankRuehl" w:hAnsi="FrankRuehl" w:cs="FrankRuehl"/>
                <w:b/>
                <w:bCs/>
                <w:noProof w:val="0"/>
                <w:sz w:val="28"/>
                <w:szCs w:val="28"/>
                <w:rtl/>
              </w:rPr>
            </w:pPr>
            <w:r w:rsidRPr="0042619A">
              <w:rPr>
                <w:rFonts w:ascii="FrankRuehl" w:hAnsi="FrankRuehl" w:cs="FrankRuehl"/>
                <w:b/>
                <w:bCs/>
                <w:noProof w:val="0"/>
                <w:sz w:val="28"/>
                <w:szCs w:val="28"/>
                <w:rtl/>
              </w:rPr>
              <w:t>אולגה קרבצ'נקו</w:t>
            </w:r>
            <w:r w:rsidR="009C358E" w:rsidRPr="0042619A">
              <w:rPr>
                <w:rFonts w:ascii="FrankRuehl" w:hAnsi="FrankRuehl" w:cs="FrankRuehl"/>
                <w:b/>
                <w:bCs/>
                <w:noProof w:val="0"/>
                <w:sz w:val="28"/>
                <w:szCs w:val="28"/>
                <w:rtl/>
              </w:rPr>
              <w:t xml:space="preserve"> </w:t>
            </w:r>
            <w:r w:rsidRPr="0042619A">
              <w:rPr>
                <w:rFonts w:ascii="FrankRuehl" w:hAnsi="FrankRuehl" w:cs="FrankRuehl"/>
                <w:b/>
                <w:bCs/>
                <w:noProof w:val="0"/>
                <w:sz w:val="28"/>
                <w:szCs w:val="28"/>
                <w:rtl/>
              </w:rPr>
              <w:t>ת"ז</w:t>
            </w:r>
            <w:r w:rsidR="009C358E" w:rsidRPr="0042619A">
              <w:rPr>
                <w:rFonts w:ascii="FrankRuehl" w:hAnsi="FrankRuehl" w:cs="FrankRuehl"/>
                <w:b/>
                <w:bCs/>
                <w:noProof w:val="0"/>
                <w:sz w:val="28"/>
                <w:szCs w:val="28"/>
                <w:rtl/>
              </w:rPr>
              <w:t xml:space="preserve"> </w:t>
            </w:r>
            <w:r w:rsidR="00540224">
              <w:rPr>
                <w:rFonts w:ascii="FrankRuehl" w:hAnsi="FrankRuehl" w:cs="FrankRuehl" w:hint="cs"/>
                <w:b/>
                <w:bCs/>
                <w:noProof w:val="0"/>
                <w:sz w:val="28"/>
                <w:szCs w:val="28"/>
                <w:rtl/>
              </w:rPr>
              <w:t>-------</w:t>
            </w:r>
          </w:p>
          <w:p w:rsidR="006816EC" w:rsidRPr="0042619A" w:rsidRDefault="00E44DDF" w:rsidP="0042619A">
            <w:pPr>
              <w:rPr>
                <w:rFonts w:ascii="FrankRuehl" w:hAnsi="FrankRuehl" w:cs="FrankRuehl"/>
                <w:b/>
                <w:bCs/>
                <w:noProof w:val="0"/>
                <w:sz w:val="28"/>
                <w:szCs w:val="28"/>
                <w:rtl/>
              </w:rPr>
            </w:pPr>
            <w:r w:rsidRPr="0042619A">
              <w:rPr>
                <w:rFonts w:ascii="FrankRuehl" w:hAnsi="FrankRuehl" w:cs="FrankRuehl"/>
                <w:b/>
                <w:bCs/>
                <w:noProof w:val="0"/>
                <w:sz w:val="28"/>
                <w:szCs w:val="28"/>
                <w:rtl/>
              </w:rPr>
              <w:t xml:space="preserve">ע"י ב"כ </w:t>
            </w:r>
            <w:r w:rsidR="0042619A">
              <w:rPr>
                <w:rFonts w:ascii="FrankRuehl" w:hAnsi="FrankRuehl" w:cs="FrankRuehl" w:hint="cs"/>
                <w:b/>
                <w:bCs/>
                <w:noProof w:val="0"/>
                <w:sz w:val="28"/>
                <w:szCs w:val="28"/>
                <w:rtl/>
              </w:rPr>
              <w:t>עוה"ד ורדית אבידן</w:t>
            </w:r>
          </w:p>
        </w:tc>
      </w:tr>
      <w:tr w:rsidR="006816EC" w:rsidRPr="0042619A" w:rsidTr="006816EC">
        <w:trPr>
          <w:jc w:val="center"/>
        </w:trPr>
        <w:tc>
          <w:tcPr>
            <w:tcW w:w="8820" w:type="dxa"/>
            <w:gridSpan w:val="3"/>
          </w:tcPr>
          <w:p w:rsidR="006816EC" w:rsidRPr="0042619A" w:rsidRDefault="006816EC">
            <w:pPr>
              <w:rPr>
                <w:rFonts w:ascii="FrankRuehl" w:hAnsi="FrankRuehl" w:cs="FrankRuehl"/>
                <w:b/>
                <w:bCs/>
                <w:noProof w:val="0"/>
                <w:sz w:val="28"/>
                <w:szCs w:val="28"/>
                <w:rtl/>
              </w:rPr>
            </w:pPr>
          </w:p>
          <w:p w:rsidR="006816EC" w:rsidRPr="0042619A" w:rsidRDefault="006816EC">
            <w:pPr>
              <w:jc w:val="center"/>
              <w:rPr>
                <w:rFonts w:ascii="FrankRuehl" w:hAnsi="FrankRuehl" w:cs="FrankRuehl"/>
                <w:b/>
                <w:bCs/>
                <w:noProof w:val="0"/>
                <w:sz w:val="28"/>
                <w:szCs w:val="28"/>
                <w:rtl/>
              </w:rPr>
            </w:pPr>
            <w:r w:rsidRPr="0042619A">
              <w:rPr>
                <w:rFonts w:ascii="FrankRuehl" w:hAnsi="FrankRuehl" w:cs="FrankRuehl"/>
                <w:b/>
                <w:bCs/>
                <w:noProof w:val="0"/>
                <w:sz w:val="28"/>
                <w:szCs w:val="28"/>
                <w:rtl/>
              </w:rPr>
              <w:t>נגד</w:t>
            </w:r>
          </w:p>
          <w:p w:rsidR="006816EC" w:rsidRPr="0042619A" w:rsidRDefault="006816EC">
            <w:pPr>
              <w:rPr>
                <w:rFonts w:ascii="FrankRuehl" w:hAnsi="FrankRuehl" w:cs="FrankRuehl"/>
                <w:b/>
                <w:bCs/>
                <w:noProof w:val="0"/>
                <w:sz w:val="28"/>
                <w:szCs w:val="28"/>
              </w:rPr>
            </w:pPr>
          </w:p>
        </w:tc>
      </w:tr>
      <w:tr w:rsidR="006816EC" w:rsidRPr="0042619A" w:rsidTr="006816EC">
        <w:trPr>
          <w:jc w:val="center"/>
        </w:trPr>
        <w:tc>
          <w:tcPr>
            <w:tcW w:w="3249" w:type="dxa"/>
            <w:gridSpan w:val="2"/>
          </w:tcPr>
          <w:p w:rsidR="006816EC" w:rsidRPr="0042619A" w:rsidRDefault="0042619A">
            <w:pPr>
              <w:rPr>
                <w:rFonts w:ascii="FrankRuehl" w:hAnsi="FrankRuehl" w:cs="FrankRuehl"/>
                <w:b/>
                <w:bCs/>
                <w:noProof w:val="0"/>
                <w:sz w:val="28"/>
                <w:szCs w:val="28"/>
              </w:rPr>
            </w:pPr>
            <w:r>
              <w:rPr>
                <w:rFonts w:ascii="FrankRuehl" w:hAnsi="FrankRuehl" w:cs="FrankRuehl" w:hint="cs"/>
                <w:b/>
                <w:bCs/>
                <w:noProof w:val="0"/>
                <w:sz w:val="28"/>
                <w:szCs w:val="28"/>
                <w:rtl/>
              </w:rPr>
              <w:t>המשיב:</w:t>
            </w:r>
          </w:p>
        </w:tc>
        <w:tc>
          <w:tcPr>
            <w:tcW w:w="5571" w:type="dxa"/>
          </w:tcPr>
          <w:p w:rsidR="006816EC" w:rsidRPr="0042619A" w:rsidRDefault="00E44DDF" w:rsidP="00540224">
            <w:pPr>
              <w:rPr>
                <w:rFonts w:ascii="FrankRuehl" w:hAnsi="FrankRuehl" w:cs="FrankRuehl"/>
                <w:sz w:val="28"/>
                <w:szCs w:val="28"/>
              </w:rPr>
            </w:pPr>
            <w:r w:rsidRPr="0042619A">
              <w:rPr>
                <w:rFonts w:ascii="FrankRuehl" w:hAnsi="FrankRuehl" w:cs="FrankRuehl"/>
                <w:b/>
                <w:bCs/>
                <w:noProof w:val="0"/>
                <w:sz w:val="28"/>
                <w:szCs w:val="28"/>
                <w:rtl/>
              </w:rPr>
              <w:t>אדיר חבני</w:t>
            </w:r>
            <w:r w:rsidR="009C358E" w:rsidRPr="0042619A">
              <w:rPr>
                <w:rFonts w:ascii="FrankRuehl" w:hAnsi="FrankRuehl" w:cs="FrankRuehl"/>
                <w:b/>
                <w:bCs/>
                <w:noProof w:val="0"/>
                <w:sz w:val="28"/>
                <w:szCs w:val="28"/>
                <w:rtl/>
              </w:rPr>
              <w:t xml:space="preserve"> </w:t>
            </w:r>
            <w:r w:rsidRPr="0042619A">
              <w:rPr>
                <w:rFonts w:ascii="FrankRuehl" w:hAnsi="FrankRuehl" w:cs="FrankRuehl"/>
                <w:b/>
                <w:bCs/>
                <w:noProof w:val="0"/>
                <w:sz w:val="28"/>
                <w:szCs w:val="28"/>
                <w:rtl/>
              </w:rPr>
              <w:t>ת"ז</w:t>
            </w:r>
            <w:r w:rsidR="009C358E" w:rsidRPr="0042619A">
              <w:rPr>
                <w:rFonts w:ascii="FrankRuehl" w:hAnsi="FrankRuehl" w:cs="FrankRuehl"/>
                <w:b/>
                <w:bCs/>
                <w:noProof w:val="0"/>
                <w:sz w:val="28"/>
                <w:szCs w:val="28"/>
                <w:rtl/>
              </w:rPr>
              <w:t xml:space="preserve"> </w:t>
            </w:r>
            <w:r w:rsidR="00540224">
              <w:rPr>
                <w:rFonts w:ascii="FrankRuehl" w:hAnsi="FrankRuehl" w:cs="FrankRuehl" w:hint="cs"/>
                <w:b/>
                <w:bCs/>
                <w:noProof w:val="0"/>
                <w:sz w:val="28"/>
                <w:szCs w:val="28"/>
                <w:rtl/>
              </w:rPr>
              <w:t>----------</w:t>
            </w:r>
            <w:r w:rsidRPr="0042619A">
              <w:rPr>
                <w:rFonts w:ascii="FrankRuehl" w:hAnsi="FrankRuehl" w:cs="FrankRuehl"/>
                <w:sz w:val="28"/>
                <w:szCs w:val="28"/>
                <w:rtl/>
              </w:rPr>
              <w:t xml:space="preserve"> </w:t>
            </w:r>
          </w:p>
        </w:tc>
      </w:tr>
      <w:tr w:rsidR="00694556" w:rsidRPr="0042619A">
        <w:trPr>
          <w:jc w:val="center"/>
        </w:trPr>
        <w:tc>
          <w:tcPr>
            <w:tcW w:w="8820" w:type="dxa"/>
            <w:gridSpan w:val="3"/>
          </w:tcPr>
          <w:p w:rsidR="0042619A" w:rsidRPr="0042619A" w:rsidRDefault="0042619A">
            <w:pPr>
              <w:bidi w:val="0"/>
              <w:jc w:val="center"/>
              <w:rPr>
                <w:rFonts w:ascii="FrankRuehl" w:hAnsi="FrankRuehl" w:cs="FrankRuehl"/>
                <w:b/>
                <w:bCs/>
                <w:noProof w:val="0"/>
                <w:sz w:val="40"/>
                <w:szCs w:val="40"/>
                <w:u w:val="single"/>
                <w:rtl/>
              </w:rPr>
            </w:pPr>
          </w:p>
          <w:p w:rsidR="00694556" w:rsidRDefault="00005C8B" w:rsidP="0042619A">
            <w:pPr>
              <w:bidi w:val="0"/>
              <w:jc w:val="center"/>
              <w:rPr>
                <w:rFonts w:ascii="FrankRuehl" w:hAnsi="FrankRuehl" w:cs="FrankRuehl"/>
                <w:b/>
                <w:bCs/>
                <w:noProof w:val="0"/>
                <w:sz w:val="40"/>
                <w:szCs w:val="40"/>
                <w:u w:val="single"/>
              </w:rPr>
            </w:pPr>
            <w:r w:rsidRPr="0042619A">
              <w:rPr>
                <w:rFonts w:ascii="FrankRuehl" w:hAnsi="FrankRuehl" w:cs="FrankRuehl"/>
                <w:b/>
                <w:bCs/>
                <w:noProof w:val="0"/>
                <w:sz w:val="40"/>
                <w:szCs w:val="40"/>
                <w:u w:val="single"/>
                <w:rtl/>
              </w:rPr>
              <w:t>פסק דין</w:t>
            </w:r>
          </w:p>
          <w:p w:rsidR="0042619A" w:rsidRPr="0042619A" w:rsidRDefault="0042619A" w:rsidP="0042619A">
            <w:pPr>
              <w:bidi w:val="0"/>
              <w:jc w:val="center"/>
              <w:rPr>
                <w:rFonts w:ascii="FrankRuehl" w:hAnsi="FrankRuehl" w:cs="FrankRuehl"/>
                <w:b/>
                <w:bCs/>
                <w:noProof w:val="0"/>
                <w:sz w:val="40"/>
                <w:szCs w:val="40"/>
                <w:u w:val="single"/>
              </w:rPr>
            </w:pPr>
          </w:p>
        </w:tc>
      </w:tr>
    </w:tbl>
    <w:p w:rsidR="00D46DCE" w:rsidRPr="0042619A" w:rsidRDefault="003C3ECB" w:rsidP="004F67F0">
      <w:pPr>
        <w:spacing w:line="360" w:lineRule="auto"/>
        <w:jc w:val="both"/>
        <w:rPr>
          <w:rFonts w:ascii="FrankRuehl" w:hAnsi="FrankRuehl" w:cs="FrankRuehl"/>
          <w:sz w:val="28"/>
          <w:szCs w:val="28"/>
          <w:rtl/>
        </w:rPr>
      </w:pPr>
      <w:r>
        <w:rPr>
          <w:rFonts w:ascii="FrankRuehl" w:hAnsi="FrankRuehl" w:cs="FrankRuehl" w:hint="cs"/>
          <w:sz w:val="28"/>
          <w:szCs w:val="28"/>
          <w:rtl/>
        </w:rPr>
        <w:t>תובענה למתן צווים מכוח חוק למניעת אלימות במשפחה, התשנ"</w:t>
      </w:r>
      <w:r w:rsidR="004F67F0">
        <w:rPr>
          <w:rFonts w:ascii="FrankRuehl" w:hAnsi="FrankRuehl" w:cs="FrankRuehl" w:hint="cs"/>
          <w:sz w:val="28"/>
          <w:szCs w:val="28"/>
          <w:rtl/>
        </w:rPr>
        <w:t>א</w:t>
      </w:r>
      <w:r>
        <w:rPr>
          <w:rFonts w:ascii="FrankRuehl" w:hAnsi="FrankRuehl" w:cs="FrankRuehl" w:hint="cs"/>
          <w:sz w:val="28"/>
          <w:szCs w:val="28"/>
          <w:rtl/>
        </w:rPr>
        <w:t>-199</w:t>
      </w:r>
      <w:r w:rsidR="004F67F0">
        <w:rPr>
          <w:rFonts w:ascii="FrankRuehl" w:hAnsi="FrankRuehl" w:cs="FrankRuehl" w:hint="cs"/>
          <w:sz w:val="28"/>
          <w:szCs w:val="28"/>
          <w:rtl/>
        </w:rPr>
        <w:t>1</w:t>
      </w:r>
      <w:r>
        <w:rPr>
          <w:rFonts w:ascii="FrankRuehl" w:hAnsi="FrankRuehl" w:cs="FrankRuehl" w:hint="cs"/>
          <w:sz w:val="28"/>
          <w:szCs w:val="28"/>
          <w:rtl/>
        </w:rPr>
        <w:t xml:space="preserve"> או מכוח חוק מניעת הטרדה מאיימת התשס"ב-2001. ברקע, פירסומים הנוגעים למבקשת, שנכתבו על ידי המשיב בפלטפורמות חברתיות שונות. </w:t>
      </w:r>
    </w:p>
    <w:p w:rsidR="00487AD0" w:rsidRPr="0042619A" w:rsidRDefault="00487AD0" w:rsidP="0042619A">
      <w:pPr>
        <w:spacing w:line="360" w:lineRule="auto"/>
        <w:ind w:left="720" w:hanging="720"/>
        <w:jc w:val="both"/>
        <w:rPr>
          <w:rFonts w:ascii="FrankRuehl" w:hAnsi="FrankRuehl" w:cs="FrankRuehl"/>
          <w:sz w:val="28"/>
          <w:szCs w:val="28"/>
          <w:rtl/>
        </w:rPr>
      </w:pPr>
    </w:p>
    <w:p w:rsidR="00D46DCE" w:rsidRPr="0042619A" w:rsidRDefault="00D46DCE" w:rsidP="0042619A">
      <w:pPr>
        <w:spacing w:line="360" w:lineRule="auto"/>
        <w:ind w:left="720" w:hanging="720"/>
        <w:jc w:val="both"/>
        <w:rPr>
          <w:rFonts w:ascii="FrankRuehl" w:hAnsi="FrankRuehl" w:cs="FrankRuehl"/>
          <w:sz w:val="28"/>
          <w:szCs w:val="28"/>
          <w:rtl/>
        </w:rPr>
      </w:pPr>
      <w:r w:rsidRPr="0042619A">
        <w:rPr>
          <w:rFonts w:ascii="FrankRuehl" w:hAnsi="FrankRuehl" w:cs="FrankRuehl"/>
          <w:b/>
          <w:bCs/>
          <w:sz w:val="28"/>
          <w:szCs w:val="28"/>
          <w:u w:val="single"/>
          <w:rtl/>
        </w:rPr>
        <w:t>הרקע וטענות הצדדים</w:t>
      </w:r>
      <w:r w:rsidRPr="0042619A">
        <w:rPr>
          <w:rFonts w:ascii="FrankRuehl" w:hAnsi="FrankRuehl" w:cs="FrankRuehl"/>
          <w:sz w:val="28"/>
          <w:szCs w:val="28"/>
          <w:rtl/>
        </w:rPr>
        <w:t>:</w:t>
      </w:r>
    </w:p>
    <w:p w:rsidR="00487AD0" w:rsidRPr="0042619A" w:rsidRDefault="00487AD0" w:rsidP="0042619A">
      <w:pPr>
        <w:spacing w:line="360" w:lineRule="auto"/>
        <w:ind w:left="720" w:hanging="720"/>
        <w:jc w:val="both"/>
        <w:rPr>
          <w:rFonts w:ascii="FrankRuehl" w:hAnsi="FrankRuehl" w:cs="FrankRuehl"/>
          <w:sz w:val="28"/>
          <w:szCs w:val="28"/>
          <w:rtl/>
        </w:rPr>
      </w:pPr>
    </w:p>
    <w:p w:rsidR="00D9444E" w:rsidRDefault="00D46DCE" w:rsidP="00D9444E">
      <w:pPr>
        <w:pStyle w:val="af"/>
        <w:numPr>
          <w:ilvl w:val="0"/>
          <w:numId w:val="1"/>
        </w:numPr>
        <w:spacing w:line="360" w:lineRule="auto"/>
        <w:jc w:val="both"/>
        <w:rPr>
          <w:rFonts w:ascii="FrankRuehl" w:hAnsi="FrankRuehl" w:cs="FrankRuehl"/>
          <w:sz w:val="28"/>
          <w:szCs w:val="28"/>
        </w:rPr>
      </w:pPr>
      <w:r w:rsidRPr="003C3ECB">
        <w:rPr>
          <w:rFonts w:ascii="FrankRuehl" w:hAnsi="FrankRuehl" w:cs="FrankRuehl"/>
          <w:sz w:val="28"/>
          <w:szCs w:val="28"/>
          <w:rtl/>
        </w:rPr>
        <w:t>הצדדים</w:t>
      </w:r>
      <w:r w:rsidR="003C3ECB" w:rsidRPr="003C3ECB">
        <w:rPr>
          <w:rFonts w:ascii="FrankRuehl" w:hAnsi="FrankRuehl" w:cs="FrankRuehl" w:hint="cs"/>
          <w:sz w:val="28"/>
          <w:szCs w:val="28"/>
          <w:rtl/>
        </w:rPr>
        <w:t>, בני זוג לשעבר</w:t>
      </w:r>
      <w:r w:rsidRPr="003C3ECB">
        <w:rPr>
          <w:rFonts w:ascii="FrankRuehl" w:hAnsi="FrankRuehl" w:cs="FrankRuehl"/>
          <w:sz w:val="28"/>
          <w:szCs w:val="28"/>
          <w:rtl/>
        </w:rPr>
        <w:t xml:space="preserve"> </w:t>
      </w:r>
      <w:r w:rsidR="003C3ECB" w:rsidRPr="003C3ECB">
        <w:rPr>
          <w:rFonts w:ascii="FrankRuehl" w:hAnsi="FrankRuehl" w:cs="FrankRuehl" w:hint="cs"/>
          <w:sz w:val="28"/>
          <w:szCs w:val="28"/>
          <w:rtl/>
        </w:rPr>
        <w:t>ש</w:t>
      </w:r>
      <w:r w:rsidRPr="003C3ECB">
        <w:rPr>
          <w:rFonts w:ascii="FrankRuehl" w:hAnsi="FrankRuehl" w:cs="FrankRuehl"/>
          <w:sz w:val="28"/>
          <w:szCs w:val="28"/>
          <w:rtl/>
        </w:rPr>
        <w:t xml:space="preserve">ניהלו מערכת יחסים  </w:t>
      </w:r>
      <w:r w:rsidR="003C3ECB" w:rsidRPr="003C3ECB">
        <w:rPr>
          <w:rFonts w:ascii="FrankRuehl" w:hAnsi="FrankRuehl" w:cs="FrankRuehl" w:hint="cs"/>
          <w:sz w:val="28"/>
          <w:szCs w:val="28"/>
          <w:rtl/>
        </w:rPr>
        <w:t>ב</w:t>
      </w:r>
      <w:r w:rsidRPr="003C3ECB">
        <w:rPr>
          <w:rFonts w:ascii="FrankRuehl" w:hAnsi="FrankRuehl" w:cs="FrankRuehl"/>
          <w:sz w:val="28"/>
          <w:szCs w:val="28"/>
          <w:rtl/>
        </w:rPr>
        <w:t>שנים 2003 ועד</w:t>
      </w:r>
      <w:r w:rsidR="00AD334D" w:rsidRPr="003C3ECB">
        <w:rPr>
          <w:rFonts w:ascii="FrankRuehl" w:hAnsi="FrankRuehl" w:cs="FrankRuehl"/>
          <w:sz w:val="28"/>
          <w:szCs w:val="28"/>
          <w:rtl/>
        </w:rPr>
        <w:t xml:space="preserve"> 2012</w:t>
      </w:r>
      <w:r w:rsidR="003C3ECB" w:rsidRPr="003C3ECB">
        <w:rPr>
          <w:rFonts w:ascii="FrankRuehl" w:hAnsi="FrankRuehl" w:cs="FrankRuehl" w:hint="cs"/>
          <w:sz w:val="28"/>
          <w:szCs w:val="28"/>
          <w:rtl/>
        </w:rPr>
        <w:t>.</w:t>
      </w:r>
    </w:p>
    <w:p w:rsidR="00D9444E" w:rsidRDefault="00D9444E" w:rsidP="00D9444E">
      <w:pPr>
        <w:pStyle w:val="af"/>
        <w:spacing w:line="360" w:lineRule="auto"/>
        <w:ind w:left="360"/>
        <w:jc w:val="both"/>
        <w:rPr>
          <w:rFonts w:ascii="FrankRuehl" w:hAnsi="FrankRuehl" w:cs="FrankRuehl"/>
          <w:sz w:val="28"/>
          <w:szCs w:val="28"/>
        </w:rPr>
      </w:pPr>
    </w:p>
    <w:p w:rsidR="003E1FED" w:rsidRDefault="0092650D" w:rsidP="006C4436">
      <w:pPr>
        <w:pStyle w:val="af"/>
        <w:numPr>
          <w:ilvl w:val="0"/>
          <w:numId w:val="1"/>
        </w:numPr>
        <w:spacing w:line="360" w:lineRule="auto"/>
        <w:jc w:val="both"/>
        <w:rPr>
          <w:rFonts w:ascii="FrankRuehl" w:hAnsi="FrankRuehl" w:cs="FrankRuehl"/>
          <w:sz w:val="28"/>
          <w:szCs w:val="28"/>
        </w:rPr>
      </w:pPr>
      <w:r w:rsidRPr="00D9444E">
        <w:rPr>
          <w:rFonts w:ascii="FrankRuehl" w:hAnsi="FrankRuehl" w:cs="FrankRuehl" w:hint="cs"/>
          <w:sz w:val="28"/>
          <w:szCs w:val="28"/>
          <w:rtl/>
        </w:rPr>
        <w:t xml:space="preserve">נטען בבקשה כי </w:t>
      </w:r>
      <w:r w:rsidR="00D9444E">
        <w:rPr>
          <w:rFonts w:ascii="FrankRuehl" w:hAnsi="FrankRuehl" w:cs="FrankRuehl" w:hint="cs"/>
          <w:sz w:val="28"/>
          <w:szCs w:val="28"/>
          <w:rtl/>
        </w:rPr>
        <w:t>המבקשת אשר נמצאה במערכת יחסים מתעללת, אזרה אומץ להיפרד מהמשי</w:t>
      </w:r>
      <w:r w:rsidR="00A46ED4">
        <w:rPr>
          <w:rFonts w:ascii="FrankRuehl" w:hAnsi="FrankRuehl" w:cs="FrankRuehl" w:hint="cs"/>
          <w:sz w:val="28"/>
          <w:szCs w:val="28"/>
          <w:rtl/>
        </w:rPr>
        <w:t>ב אך הוא ממשיך ופועל על מנת להת</w:t>
      </w:r>
      <w:r w:rsidR="00D9444E">
        <w:rPr>
          <w:rFonts w:ascii="FrankRuehl" w:hAnsi="FrankRuehl" w:cs="FrankRuehl" w:hint="cs"/>
          <w:sz w:val="28"/>
          <w:szCs w:val="28"/>
          <w:rtl/>
        </w:rPr>
        <w:t xml:space="preserve">עלל ולנקום בה על כי סיימה את מערכת היחסים. המבקשת טענה כי </w:t>
      </w:r>
      <w:r w:rsidR="00D46DCE" w:rsidRPr="00D9444E">
        <w:rPr>
          <w:rFonts w:ascii="FrankRuehl" w:hAnsi="FrankRuehl" w:cs="FrankRuehl"/>
          <w:sz w:val="28"/>
          <w:szCs w:val="28"/>
          <w:rtl/>
        </w:rPr>
        <w:t>סבלה מפגיעות פיזיות ומיניות בשל "</w:t>
      </w:r>
      <w:r w:rsidR="00D46DCE" w:rsidRPr="00D9444E">
        <w:rPr>
          <w:rFonts w:ascii="FrankRuehl" w:hAnsi="FrankRuehl" w:cs="Miriam"/>
          <w:sz w:val="28"/>
          <w:rtl/>
        </w:rPr>
        <w:t>אובססיה חולנית</w:t>
      </w:r>
      <w:r w:rsidR="00F673F9" w:rsidRPr="00D9444E">
        <w:rPr>
          <w:rFonts w:ascii="FrankRuehl" w:hAnsi="FrankRuehl" w:cs="FrankRuehl"/>
          <w:sz w:val="28"/>
          <w:szCs w:val="28"/>
          <w:rtl/>
        </w:rPr>
        <w:t>" מצד</w:t>
      </w:r>
      <w:r w:rsidR="00F673F9" w:rsidRPr="00D9444E">
        <w:rPr>
          <w:rFonts w:ascii="FrankRuehl" w:hAnsi="FrankRuehl" w:cs="FrankRuehl" w:hint="cs"/>
          <w:sz w:val="28"/>
          <w:szCs w:val="28"/>
          <w:rtl/>
        </w:rPr>
        <w:t xml:space="preserve"> המשיב</w:t>
      </w:r>
      <w:r w:rsidRPr="00D9444E">
        <w:rPr>
          <w:rFonts w:ascii="FrankRuehl" w:hAnsi="FrankRuehl" w:cs="FrankRuehl" w:hint="cs"/>
          <w:sz w:val="28"/>
          <w:szCs w:val="28"/>
          <w:rtl/>
        </w:rPr>
        <w:t>.</w:t>
      </w:r>
      <w:r w:rsidR="00AD334D" w:rsidRPr="00D9444E">
        <w:rPr>
          <w:rFonts w:ascii="FrankRuehl" w:hAnsi="FrankRuehl" w:cs="FrankRuehl" w:hint="cs"/>
          <w:sz w:val="28"/>
          <w:szCs w:val="28"/>
          <w:rtl/>
        </w:rPr>
        <w:t xml:space="preserve"> </w:t>
      </w:r>
      <w:r w:rsidR="00BD3F08">
        <w:rPr>
          <w:rFonts w:ascii="FrankRuehl" w:hAnsi="FrankRuehl" w:cs="FrankRuehl" w:hint="cs"/>
          <w:sz w:val="28"/>
          <w:szCs w:val="28"/>
          <w:rtl/>
        </w:rPr>
        <w:t xml:space="preserve">עוד </w:t>
      </w:r>
      <w:r w:rsidRPr="00D9444E">
        <w:rPr>
          <w:rFonts w:ascii="FrankRuehl" w:hAnsi="FrankRuehl" w:cs="FrankRuehl" w:hint="cs"/>
          <w:sz w:val="28"/>
          <w:szCs w:val="28"/>
          <w:rtl/>
        </w:rPr>
        <w:t xml:space="preserve">נטען כי מעת פרידת הצדדים, </w:t>
      </w:r>
      <w:r w:rsidR="00633FCA" w:rsidRPr="00D9444E">
        <w:rPr>
          <w:rFonts w:ascii="FrankRuehl" w:hAnsi="FrankRuehl" w:cs="FrankRuehl" w:hint="cs"/>
          <w:sz w:val="28"/>
          <w:szCs w:val="28"/>
          <w:rtl/>
        </w:rPr>
        <w:t xml:space="preserve">המשיב פרסם ומפרסם באופן אובססיבי ומאסיבי פרסומים מטרידים הנוגעים למבקשת ובני משפחתה, מידע אישי ומידע כוזב ברשתות החברתיות, </w:t>
      </w:r>
      <w:r w:rsidR="00633FCA" w:rsidRPr="00D9444E">
        <w:rPr>
          <w:rFonts w:ascii="FrankRuehl" w:hAnsi="FrankRuehl" w:cs="FrankRuehl"/>
          <w:sz w:val="28"/>
          <w:szCs w:val="28"/>
          <w:rtl/>
        </w:rPr>
        <w:t>"</w:t>
      </w:r>
      <w:r w:rsidR="00633FCA" w:rsidRPr="00D9444E">
        <w:rPr>
          <w:rFonts w:ascii="FrankRuehl" w:hAnsi="FrankRuehl" w:cs="Miriam"/>
          <w:sz w:val="28"/>
          <w:rtl/>
        </w:rPr>
        <w:t>מאות אם לא אלפי פרסומים ישירים ועקיפים כלפי המבקשת, במסגרתם הוא מכפיש את שמה, מתעסק באופן כפייתי בחייה ומשפחתה, חושף לגביה פרטים אישיים לרבות באשר למיניותה וכיוצ"ב באופן שמטריד את שלוות חייה ולא מאפשר לה לנהל באופן סביר ותקין את חייה</w:t>
      </w:r>
      <w:r w:rsidR="00633FCA" w:rsidRPr="00D9444E">
        <w:rPr>
          <w:rFonts w:ascii="FrankRuehl" w:hAnsi="FrankRuehl" w:cs="FrankRuehl"/>
          <w:sz w:val="28"/>
          <w:szCs w:val="28"/>
          <w:rtl/>
        </w:rPr>
        <w:t xml:space="preserve">". </w:t>
      </w:r>
      <w:r w:rsidR="00633FCA" w:rsidRPr="00D9444E">
        <w:rPr>
          <w:rFonts w:ascii="FrankRuehl" w:hAnsi="FrankRuehl" w:cs="FrankRuehl" w:hint="cs"/>
          <w:sz w:val="28"/>
          <w:szCs w:val="28"/>
          <w:rtl/>
        </w:rPr>
        <w:t xml:space="preserve">עוד נטען כי </w:t>
      </w:r>
      <w:r w:rsidR="00633FCA" w:rsidRPr="00D9444E">
        <w:rPr>
          <w:rFonts w:ascii="Miriam" w:hAnsi="Miriam" w:cs="Miriam"/>
          <w:rtl/>
        </w:rPr>
        <w:t xml:space="preserve">המשיב מפרסם באובססיביות שהמבקשת היא הרוצחת של תאיר ראדה ז"ל. </w:t>
      </w:r>
      <w:r w:rsidR="00633FCA" w:rsidRPr="00D9444E">
        <w:rPr>
          <w:rFonts w:ascii="FrankRuehl" w:hAnsi="FrankRuehl" w:cs="FrankRuehl" w:hint="cs"/>
          <w:sz w:val="28"/>
          <w:szCs w:val="28"/>
          <w:rtl/>
        </w:rPr>
        <w:t>המבקשת הפנתה ל</w:t>
      </w:r>
      <w:r w:rsidR="00633FCA" w:rsidRPr="00D9444E">
        <w:rPr>
          <w:rFonts w:ascii="FrankRuehl" w:hAnsi="FrankRuehl" w:cs="FrankRuehl"/>
          <w:sz w:val="28"/>
          <w:szCs w:val="28"/>
          <w:rtl/>
        </w:rPr>
        <w:t xml:space="preserve">קבוצות </w:t>
      </w:r>
      <w:r w:rsidR="00633FCA" w:rsidRPr="00D9444E">
        <w:rPr>
          <w:rFonts w:ascii="FrankRuehl" w:hAnsi="FrankRuehl" w:cs="FrankRuehl" w:hint="cs"/>
          <w:sz w:val="28"/>
          <w:szCs w:val="28"/>
          <w:rtl/>
        </w:rPr>
        <w:t xml:space="preserve">המתנהלות </w:t>
      </w:r>
      <w:r w:rsidR="00633FCA" w:rsidRPr="00D9444E">
        <w:rPr>
          <w:rFonts w:ascii="FrankRuehl" w:hAnsi="FrankRuehl" w:cs="FrankRuehl"/>
          <w:sz w:val="28"/>
          <w:szCs w:val="28"/>
          <w:rtl/>
        </w:rPr>
        <w:t xml:space="preserve">ביישומון "טלגרם" </w:t>
      </w:r>
      <w:r w:rsidR="00633FCA" w:rsidRPr="00D9444E">
        <w:rPr>
          <w:rFonts w:ascii="FrankRuehl" w:hAnsi="FrankRuehl" w:cs="FrankRuehl" w:hint="cs"/>
          <w:sz w:val="28"/>
          <w:szCs w:val="28"/>
          <w:rtl/>
        </w:rPr>
        <w:t xml:space="preserve">אשר </w:t>
      </w:r>
      <w:r w:rsidR="00633FCA" w:rsidRPr="00D9444E">
        <w:rPr>
          <w:rFonts w:ascii="FrankRuehl" w:hAnsi="FrankRuehl" w:cs="FrankRuehl"/>
          <w:sz w:val="28"/>
          <w:szCs w:val="28"/>
          <w:rtl/>
        </w:rPr>
        <w:t>מונות מאות חברים כל אחת</w:t>
      </w:r>
      <w:r w:rsidR="00325AEC">
        <w:rPr>
          <w:rFonts w:ascii="FrankRuehl" w:hAnsi="FrankRuehl" w:cs="FrankRuehl" w:hint="cs"/>
          <w:sz w:val="28"/>
          <w:szCs w:val="28"/>
          <w:rtl/>
        </w:rPr>
        <w:t xml:space="preserve">, </w:t>
      </w:r>
      <w:r w:rsidR="00CE7973">
        <w:rPr>
          <w:rFonts w:ascii="FrankRuehl" w:hAnsi="FrankRuehl" w:cs="FrankRuehl" w:hint="cs"/>
          <w:sz w:val="28"/>
          <w:szCs w:val="28"/>
          <w:rtl/>
        </w:rPr>
        <w:t>ערוץ</w:t>
      </w:r>
      <w:r w:rsidR="00325AEC">
        <w:rPr>
          <w:rFonts w:ascii="FrankRuehl" w:hAnsi="FrankRuehl" w:cs="FrankRuehl" w:hint="cs"/>
          <w:sz w:val="28"/>
          <w:szCs w:val="28"/>
          <w:rtl/>
        </w:rPr>
        <w:t xml:space="preserve"> "של אמת" וקבוצה "</w:t>
      </w:r>
      <w:r w:rsidR="00432BBF">
        <w:rPr>
          <w:rFonts w:ascii="FrankRuehl" w:hAnsi="FrankRuehl" w:cs="FrankRuehl" w:hint="cs"/>
          <w:sz w:val="28"/>
          <w:szCs w:val="28"/>
          <w:rtl/>
        </w:rPr>
        <w:t>של אמת-דיונים</w:t>
      </w:r>
      <w:r w:rsidR="00325AEC">
        <w:rPr>
          <w:rFonts w:ascii="FrankRuehl" w:hAnsi="FrankRuehl" w:cs="FrankRuehl" w:hint="cs"/>
          <w:sz w:val="28"/>
          <w:szCs w:val="28"/>
          <w:rtl/>
        </w:rPr>
        <w:t>"</w:t>
      </w:r>
      <w:r w:rsidR="00633FCA" w:rsidRPr="00D9444E">
        <w:rPr>
          <w:rFonts w:ascii="FrankRuehl" w:hAnsi="FrankRuehl" w:cs="FrankRuehl" w:hint="cs"/>
          <w:sz w:val="28"/>
          <w:szCs w:val="28"/>
          <w:rtl/>
        </w:rPr>
        <w:t xml:space="preserve">. </w:t>
      </w:r>
      <w:r w:rsidR="00633FCA" w:rsidRPr="00D9444E">
        <w:rPr>
          <w:rFonts w:ascii="FrankRuehl" w:hAnsi="FrankRuehl" w:cs="FrankRuehl"/>
          <w:sz w:val="28"/>
          <w:szCs w:val="28"/>
          <w:rtl/>
        </w:rPr>
        <w:t>בקבוצות אלה מפרסם המשיב צילומים של המבקשת ובני משפחתה, חושף פרטים אישיים אודות מצבהּ הרפואי, מקום מגוריה ותיאוריות קונספירציה כנגד המבקשת.</w:t>
      </w:r>
      <w:r w:rsidR="00633FCA" w:rsidRPr="00D9444E">
        <w:rPr>
          <w:rFonts w:ascii="FrankRuehl" w:hAnsi="FrankRuehl" w:cs="FrankRuehl" w:hint="cs"/>
          <w:sz w:val="28"/>
          <w:szCs w:val="28"/>
          <w:rtl/>
        </w:rPr>
        <w:t xml:space="preserve"> עוד הפנתה המבקשת לערוץ "יוטיוב" עם </w:t>
      </w:r>
      <w:r w:rsidR="00633FCA" w:rsidRPr="00D9444E">
        <w:rPr>
          <w:rFonts w:ascii="FrankRuehl" w:hAnsi="FrankRuehl" w:cs="FrankRuehl"/>
          <w:sz w:val="28"/>
          <w:szCs w:val="28"/>
          <w:rtl/>
        </w:rPr>
        <w:t>עשרות אלפי עוקבים ו</w:t>
      </w:r>
      <w:r w:rsidR="00633FCA" w:rsidRPr="00D9444E">
        <w:rPr>
          <w:rFonts w:ascii="FrankRuehl" w:hAnsi="FrankRuehl" w:cs="FrankRuehl" w:hint="cs"/>
          <w:sz w:val="28"/>
          <w:szCs w:val="28"/>
          <w:rtl/>
        </w:rPr>
        <w:t>הועלו בו</w:t>
      </w:r>
      <w:r w:rsidR="00633FCA" w:rsidRPr="00D9444E">
        <w:rPr>
          <w:rFonts w:ascii="FrankRuehl" w:hAnsi="FrankRuehl" w:cs="FrankRuehl"/>
          <w:sz w:val="28"/>
          <w:szCs w:val="28"/>
          <w:rtl/>
        </w:rPr>
        <w:t xml:space="preserve"> סרטונים </w:t>
      </w:r>
      <w:r w:rsidR="00A97CE3">
        <w:rPr>
          <w:rFonts w:ascii="FrankRuehl" w:hAnsi="FrankRuehl" w:cs="FrankRuehl" w:hint="cs"/>
          <w:sz w:val="28"/>
          <w:szCs w:val="28"/>
          <w:rtl/>
        </w:rPr>
        <w:t>ה</w:t>
      </w:r>
      <w:r w:rsidR="00633FCA" w:rsidRPr="00D9444E">
        <w:rPr>
          <w:rFonts w:ascii="FrankRuehl" w:hAnsi="FrankRuehl" w:cs="FrankRuehl" w:hint="cs"/>
          <w:sz w:val="28"/>
          <w:szCs w:val="28"/>
          <w:rtl/>
        </w:rPr>
        <w:t xml:space="preserve">כוללים </w:t>
      </w:r>
      <w:r w:rsidR="00633FCA" w:rsidRPr="00D9444E">
        <w:rPr>
          <w:rFonts w:ascii="FrankRuehl" w:hAnsi="FrankRuehl" w:cs="FrankRuehl"/>
          <w:sz w:val="28"/>
          <w:szCs w:val="28"/>
          <w:rtl/>
        </w:rPr>
        <w:t>מידע בריאותי ותיאורים מיניים אודות</w:t>
      </w:r>
      <w:r w:rsidR="00633FCA" w:rsidRPr="00D9444E">
        <w:rPr>
          <w:rFonts w:ascii="FrankRuehl" w:hAnsi="FrankRuehl" w:cs="FrankRuehl" w:hint="cs"/>
          <w:sz w:val="28"/>
          <w:szCs w:val="28"/>
          <w:rtl/>
        </w:rPr>
        <w:t>יה</w:t>
      </w:r>
      <w:r w:rsidR="00633FCA" w:rsidRPr="00D9444E">
        <w:rPr>
          <w:rFonts w:ascii="FrankRuehl" w:hAnsi="FrankRuehl" w:cs="FrankRuehl"/>
          <w:sz w:val="28"/>
          <w:szCs w:val="28"/>
          <w:rtl/>
        </w:rPr>
        <w:t xml:space="preserve">. </w:t>
      </w:r>
    </w:p>
    <w:p w:rsidR="003E1FED" w:rsidRPr="003E1FED" w:rsidRDefault="003E1FED" w:rsidP="003E1FED">
      <w:pPr>
        <w:pStyle w:val="af"/>
        <w:rPr>
          <w:rFonts w:ascii="FrankRuehl" w:hAnsi="FrankRuehl" w:cs="FrankRuehl"/>
          <w:sz w:val="28"/>
          <w:szCs w:val="28"/>
          <w:rtl/>
        </w:rPr>
      </w:pPr>
    </w:p>
    <w:p w:rsidR="00866557" w:rsidRDefault="00633FCA" w:rsidP="003E1FED">
      <w:pPr>
        <w:pStyle w:val="af"/>
        <w:spacing w:line="360" w:lineRule="auto"/>
        <w:ind w:left="360"/>
        <w:jc w:val="both"/>
        <w:rPr>
          <w:rFonts w:ascii="FrankRuehl" w:hAnsi="FrankRuehl" w:cs="FrankRuehl"/>
          <w:sz w:val="28"/>
          <w:szCs w:val="28"/>
        </w:rPr>
      </w:pPr>
      <w:r w:rsidRPr="00D9444E">
        <w:rPr>
          <w:rFonts w:ascii="FrankRuehl" w:hAnsi="FrankRuehl" w:cs="FrankRuehl" w:hint="cs"/>
          <w:sz w:val="28"/>
          <w:szCs w:val="28"/>
          <w:rtl/>
        </w:rPr>
        <w:lastRenderedPageBreak/>
        <w:t xml:space="preserve">נטען כי </w:t>
      </w:r>
      <w:r w:rsidR="0092650D" w:rsidRPr="00D9444E">
        <w:rPr>
          <w:rFonts w:ascii="FrankRuehl" w:hAnsi="FrankRuehl" w:cs="FrankRuehl" w:hint="cs"/>
          <w:sz w:val="28"/>
          <w:szCs w:val="28"/>
          <w:rtl/>
        </w:rPr>
        <w:t>הפירסומים מס</w:t>
      </w:r>
      <w:r w:rsidR="000925AD" w:rsidRPr="00D9444E">
        <w:rPr>
          <w:rFonts w:ascii="FrankRuehl" w:hAnsi="FrankRuehl" w:cs="FrankRuehl" w:hint="cs"/>
          <w:sz w:val="28"/>
          <w:szCs w:val="28"/>
          <w:rtl/>
        </w:rPr>
        <w:t xml:space="preserve">בים </w:t>
      </w:r>
      <w:r w:rsidR="00D46DCE" w:rsidRPr="00D9444E">
        <w:rPr>
          <w:rFonts w:ascii="FrankRuehl" w:hAnsi="FrankRuehl" w:cs="FrankRuehl"/>
          <w:sz w:val="28"/>
          <w:szCs w:val="28"/>
          <w:rtl/>
        </w:rPr>
        <w:t>ל</w:t>
      </w:r>
      <w:r w:rsidRPr="00D9444E">
        <w:rPr>
          <w:rFonts w:ascii="FrankRuehl" w:hAnsi="FrankRuehl" w:cs="FrankRuehl" w:hint="cs"/>
          <w:sz w:val="28"/>
          <w:szCs w:val="28"/>
          <w:rtl/>
        </w:rPr>
        <w:t xml:space="preserve">מבקשת </w:t>
      </w:r>
      <w:r w:rsidR="00D46DCE" w:rsidRPr="00D9444E">
        <w:rPr>
          <w:rFonts w:ascii="FrankRuehl" w:hAnsi="FrankRuehl" w:cs="FrankRuehl"/>
          <w:sz w:val="28"/>
          <w:szCs w:val="28"/>
          <w:rtl/>
        </w:rPr>
        <w:t>עוגמת נפש ומערער</w:t>
      </w:r>
      <w:r w:rsidR="000925AD" w:rsidRPr="00D9444E">
        <w:rPr>
          <w:rFonts w:ascii="FrankRuehl" w:hAnsi="FrankRuehl" w:cs="FrankRuehl" w:hint="cs"/>
          <w:sz w:val="28"/>
          <w:szCs w:val="28"/>
          <w:rtl/>
        </w:rPr>
        <w:t>ים</w:t>
      </w:r>
      <w:r w:rsidR="00D46DCE" w:rsidRPr="00D9444E">
        <w:rPr>
          <w:rFonts w:ascii="FrankRuehl" w:hAnsi="FrankRuehl" w:cs="FrankRuehl"/>
          <w:sz w:val="28"/>
          <w:szCs w:val="28"/>
          <w:rtl/>
        </w:rPr>
        <w:t xml:space="preserve"> את מצבה הבריאותי.</w:t>
      </w:r>
      <w:r w:rsidR="00B11731" w:rsidRPr="00D9444E">
        <w:rPr>
          <w:rFonts w:ascii="FrankRuehl" w:hAnsi="FrankRuehl" w:cs="FrankRuehl" w:hint="cs"/>
          <w:sz w:val="28"/>
          <w:szCs w:val="28"/>
          <w:rtl/>
        </w:rPr>
        <w:t xml:space="preserve"> </w:t>
      </w:r>
      <w:r w:rsidR="00D9444E" w:rsidRPr="00D9444E">
        <w:rPr>
          <w:rFonts w:ascii="FrankRuehl" w:hAnsi="FrankRuehl" w:cs="FrankRuehl" w:hint="cs"/>
          <w:sz w:val="28"/>
          <w:szCs w:val="28"/>
          <w:rtl/>
        </w:rPr>
        <w:t xml:space="preserve">המבקשת טענה כי מסע הפירסומים נועד להטרידה, להתישה, להלך עליה איימים ולפגוע בשלוות חייה. </w:t>
      </w:r>
      <w:r w:rsidR="00BD3F08">
        <w:rPr>
          <w:rFonts w:ascii="FrankRuehl" w:hAnsi="FrankRuehl" w:cs="FrankRuehl" w:hint="cs"/>
          <w:sz w:val="28"/>
          <w:szCs w:val="28"/>
          <w:rtl/>
        </w:rPr>
        <w:t xml:space="preserve">נטען כי הפסיכולוג המטפל במבקשת מציין כי הקושי </w:t>
      </w:r>
      <w:r w:rsidR="00A46ED4">
        <w:rPr>
          <w:rFonts w:ascii="FrankRuehl" w:hAnsi="FrankRuehl" w:cs="FrankRuehl" w:hint="cs"/>
          <w:sz w:val="28"/>
          <w:szCs w:val="28"/>
          <w:rtl/>
        </w:rPr>
        <w:t>הנפשי</w:t>
      </w:r>
      <w:r w:rsidR="00BD3F08">
        <w:rPr>
          <w:rFonts w:ascii="FrankRuehl" w:hAnsi="FrankRuehl" w:cs="FrankRuehl" w:hint="cs"/>
          <w:sz w:val="28"/>
          <w:szCs w:val="28"/>
          <w:rtl/>
        </w:rPr>
        <w:t xml:space="preserve"> של המבקשת קשור להכפשות והאשמות שווא קשות שפורסמו זמן רב בכלי התקשרות </w:t>
      </w:r>
      <w:r w:rsidR="00A46ED4">
        <w:rPr>
          <w:rFonts w:ascii="FrankRuehl" w:hAnsi="FrankRuehl" w:cs="FrankRuehl" w:hint="cs"/>
          <w:sz w:val="28"/>
          <w:szCs w:val="28"/>
          <w:rtl/>
        </w:rPr>
        <w:t>וגרמו</w:t>
      </w:r>
      <w:r w:rsidR="00BD3F08">
        <w:rPr>
          <w:rFonts w:ascii="FrankRuehl" w:hAnsi="FrankRuehl" w:cs="FrankRuehl" w:hint="cs"/>
          <w:sz w:val="28"/>
          <w:szCs w:val="28"/>
          <w:rtl/>
        </w:rPr>
        <w:t xml:space="preserve"> למבקשת לנזק רב והדבר גורם לה ליאוש, חוסר אונים, חרדה </w:t>
      </w:r>
      <w:r w:rsidR="00A46ED4">
        <w:rPr>
          <w:rFonts w:ascii="FrankRuehl" w:hAnsi="FrankRuehl" w:cs="FrankRuehl" w:hint="cs"/>
          <w:sz w:val="28"/>
          <w:szCs w:val="28"/>
          <w:rtl/>
        </w:rPr>
        <w:t xml:space="preserve">והסתגרות </w:t>
      </w:r>
      <w:r w:rsidR="00BD3F08">
        <w:rPr>
          <w:rFonts w:ascii="FrankRuehl" w:hAnsi="FrankRuehl" w:cs="FrankRuehl" w:hint="cs"/>
          <w:sz w:val="28"/>
          <w:szCs w:val="28"/>
          <w:rtl/>
        </w:rPr>
        <w:t>והיא מוצפת זכרונות מההתעללות המתמשכת שחוותה</w:t>
      </w:r>
      <w:r w:rsidR="00A46ED4">
        <w:rPr>
          <w:rFonts w:ascii="FrankRuehl" w:hAnsi="FrankRuehl" w:cs="FrankRuehl" w:hint="cs"/>
          <w:sz w:val="28"/>
          <w:szCs w:val="28"/>
          <w:rtl/>
        </w:rPr>
        <w:t>,</w:t>
      </w:r>
      <w:r w:rsidR="00BD3F08">
        <w:rPr>
          <w:rFonts w:ascii="FrankRuehl" w:hAnsi="FrankRuehl" w:cs="FrankRuehl" w:hint="cs"/>
          <w:sz w:val="28"/>
          <w:szCs w:val="28"/>
          <w:rtl/>
        </w:rPr>
        <w:t xml:space="preserve"> מה שפוגע</w:t>
      </w:r>
      <w:r w:rsidR="006C4436">
        <w:rPr>
          <w:rFonts w:ascii="FrankRuehl" w:hAnsi="FrankRuehl" w:cs="FrankRuehl" w:hint="cs"/>
          <w:sz w:val="28"/>
          <w:szCs w:val="28"/>
          <w:rtl/>
        </w:rPr>
        <w:t xml:space="preserve"> בשיקום </w:t>
      </w:r>
      <w:r w:rsidR="00BD3F08">
        <w:rPr>
          <w:rFonts w:ascii="FrankRuehl" w:hAnsi="FrankRuehl" w:cs="FrankRuehl" w:hint="cs"/>
          <w:sz w:val="28"/>
          <w:szCs w:val="28"/>
          <w:rtl/>
        </w:rPr>
        <w:t xml:space="preserve">מצבה הנפשי. </w:t>
      </w:r>
      <w:r w:rsidR="00866557">
        <w:rPr>
          <w:rFonts w:ascii="FrankRuehl" w:hAnsi="FrankRuehl" w:cs="FrankRuehl" w:hint="cs"/>
          <w:sz w:val="28"/>
          <w:szCs w:val="28"/>
          <w:rtl/>
        </w:rPr>
        <w:t xml:space="preserve">נטען כי אינטנסיביות הפירסומים מהווה הטרדה מאיימת . </w:t>
      </w:r>
      <w:r w:rsidR="00B11731" w:rsidRPr="00D9444E">
        <w:rPr>
          <w:rFonts w:ascii="FrankRuehl" w:hAnsi="FrankRuehl" w:cs="FrankRuehl" w:hint="cs"/>
          <w:sz w:val="28"/>
          <w:szCs w:val="28"/>
          <w:rtl/>
        </w:rPr>
        <w:t>בית המשפט התבקש להורות על הסרת הפרסומים הפוגעניים</w:t>
      </w:r>
      <w:r w:rsidR="00532169" w:rsidRPr="00D9444E">
        <w:rPr>
          <w:rFonts w:ascii="FrankRuehl" w:hAnsi="FrankRuehl" w:cs="FrankRuehl" w:hint="cs"/>
          <w:sz w:val="28"/>
          <w:szCs w:val="28"/>
          <w:rtl/>
        </w:rPr>
        <w:t xml:space="preserve"> וליתן צו מכוח חוק מניעת הטרדה מאיימת התשס"ב-2001 </w:t>
      </w:r>
      <w:r w:rsidR="00BD3F08">
        <w:rPr>
          <w:rFonts w:ascii="FrankRuehl" w:hAnsi="FrankRuehl" w:cs="FrankRuehl" w:hint="cs"/>
          <w:sz w:val="28"/>
          <w:szCs w:val="28"/>
          <w:rtl/>
        </w:rPr>
        <w:t xml:space="preserve">או מכוח סעיף 3 לחוק </w:t>
      </w:r>
      <w:r w:rsidR="00866557">
        <w:rPr>
          <w:rFonts w:ascii="FrankRuehl" w:hAnsi="FrankRuehl" w:cs="FrankRuehl" w:hint="cs"/>
          <w:sz w:val="28"/>
          <w:szCs w:val="28"/>
          <w:rtl/>
        </w:rPr>
        <w:t>ל</w:t>
      </w:r>
      <w:r w:rsidR="00BD3F08">
        <w:rPr>
          <w:rFonts w:ascii="FrankRuehl" w:hAnsi="FrankRuehl" w:cs="FrankRuehl" w:hint="cs"/>
          <w:sz w:val="28"/>
          <w:szCs w:val="28"/>
          <w:rtl/>
        </w:rPr>
        <w:t>מניעת אלימות במשפחה, התשנ"</w:t>
      </w:r>
      <w:r w:rsidR="004F67F0">
        <w:rPr>
          <w:rFonts w:ascii="FrankRuehl" w:hAnsi="FrankRuehl" w:cs="FrankRuehl" w:hint="cs"/>
          <w:sz w:val="28"/>
          <w:szCs w:val="28"/>
          <w:rtl/>
        </w:rPr>
        <w:t>א</w:t>
      </w:r>
      <w:r w:rsidR="00BD3F08">
        <w:rPr>
          <w:rFonts w:ascii="FrankRuehl" w:hAnsi="FrankRuehl" w:cs="FrankRuehl" w:hint="cs"/>
          <w:sz w:val="28"/>
          <w:szCs w:val="28"/>
          <w:rtl/>
        </w:rPr>
        <w:t>-199</w:t>
      </w:r>
      <w:r w:rsidR="004F67F0">
        <w:rPr>
          <w:rFonts w:ascii="FrankRuehl" w:hAnsi="FrankRuehl" w:cs="FrankRuehl" w:hint="cs"/>
          <w:sz w:val="28"/>
          <w:szCs w:val="28"/>
          <w:rtl/>
        </w:rPr>
        <w:t>1</w:t>
      </w:r>
      <w:r w:rsidR="00BD3F08">
        <w:rPr>
          <w:rFonts w:ascii="FrankRuehl" w:hAnsi="FrankRuehl" w:cs="FrankRuehl" w:hint="cs"/>
          <w:sz w:val="28"/>
          <w:szCs w:val="28"/>
          <w:rtl/>
        </w:rPr>
        <w:t xml:space="preserve">, </w:t>
      </w:r>
      <w:r w:rsidR="00532169" w:rsidRPr="00D9444E">
        <w:rPr>
          <w:rFonts w:ascii="FrankRuehl" w:hAnsi="FrankRuehl" w:cs="FrankRuehl" w:hint="cs"/>
          <w:sz w:val="28"/>
          <w:szCs w:val="28"/>
          <w:rtl/>
        </w:rPr>
        <w:t>לתקופה המירבית על פי דין.</w:t>
      </w:r>
    </w:p>
    <w:p w:rsidR="00220F4F" w:rsidRDefault="00220F4F" w:rsidP="00220F4F">
      <w:pPr>
        <w:pStyle w:val="af"/>
        <w:spacing w:line="360" w:lineRule="auto"/>
        <w:ind w:left="360"/>
        <w:jc w:val="both"/>
        <w:rPr>
          <w:rFonts w:ascii="FrankRuehl" w:hAnsi="FrankRuehl" w:cs="FrankRuehl"/>
          <w:sz w:val="28"/>
          <w:szCs w:val="28"/>
        </w:rPr>
      </w:pPr>
    </w:p>
    <w:p w:rsidR="00866557" w:rsidRDefault="00220F4F" w:rsidP="00220F4F">
      <w:pPr>
        <w:pStyle w:val="af"/>
        <w:numPr>
          <w:ilvl w:val="0"/>
          <w:numId w:val="1"/>
        </w:numPr>
        <w:spacing w:line="360" w:lineRule="auto"/>
        <w:jc w:val="both"/>
        <w:rPr>
          <w:rFonts w:ascii="FrankRuehl" w:hAnsi="FrankRuehl" w:cs="FrankRuehl"/>
          <w:sz w:val="28"/>
          <w:szCs w:val="28"/>
        </w:rPr>
      </w:pPr>
      <w:r w:rsidRPr="00220F4F">
        <w:rPr>
          <w:rFonts w:ascii="FrankRuehl" w:hAnsi="FrankRuehl" w:cs="FrankRuehl" w:hint="cs"/>
          <w:sz w:val="28"/>
          <w:szCs w:val="28"/>
          <w:rtl/>
        </w:rPr>
        <w:t>ביום 23.03.2023 ניתן צו במעמד צד אחד האוסר על המשיב להטריד את המבקשת בכל מקום או בכל דרך ולהעלות נגדה פרסומים באינטרנט וברשתות החברתיות</w:t>
      </w:r>
      <w:r>
        <w:rPr>
          <w:rFonts w:ascii="FrankRuehl" w:hAnsi="FrankRuehl" w:cs="FrankRuehl" w:hint="cs"/>
          <w:sz w:val="28"/>
          <w:szCs w:val="28"/>
          <w:rtl/>
        </w:rPr>
        <w:t>, נקבע דיון במעמד הצדדים והורתי למשיב להגיש כתב תשובה</w:t>
      </w:r>
      <w:r w:rsidRPr="00220F4F">
        <w:rPr>
          <w:rFonts w:ascii="FrankRuehl" w:hAnsi="FrankRuehl" w:cs="FrankRuehl" w:hint="cs"/>
          <w:sz w:val="28"/>
          <w:szCs w:val="28"/>
          <w:rtl/>
        </w:rPr>
        <w:t>.</w:t>
      </w:r>
      <w:r w:rsidR="0085507D">
        <w:rPr>
          <w:rFonts w:ascii="FrankRuehl" w:hAnsi="FrankRuehl" w:cs="FrankRuehl" w:hint="cs"/>
          <w:sz w:val="28"/>
          <w:szCs w:val="28"/>
          <w:rtl/>
        </w:rPr>
        <w:t xml:space="preserve"> </w:t>
      </w:r>
    </w:p>
    <w:p w:rsidR="00220F4F" w:rsidRPr="00220F4F" w:rsidRDefault="00220F4F" w:rsidP="00220F4F">
      <w:pPr>
        <w:pStyle w:val="af"/>
        <w:rPr>
          <w:rFonts w:ascii="FrankRuehl" w:hAnsi="FrankRuehl" w:cs="FrankRuehl"/>
          <w:sz w:val="28"/>
          <w:szCs w:val="28"/>
          <w:rtl/>
        </w:rPr>
      </w:pPr>
    </w:p>
    <w:p w:rsidR="003E1FED" w:rsidRPr="003E1FED" w:rsidRDefault="00D46DCE" w:rsidP="006C4436">
      <w:pPr>
        <w:pStyle w:val="af"/>
        <w:numPr>
          <w:ilvl w:val="0"/>
          <w:numId w:val="1"/>
        </w:numPr>
        <w:spacing w:line="360" w:lineRule="auto"/>
        <w:jc w:val="both"/>
        <w:rPr>
          <w:rFonts w:ascii="FrankRuehl" w:hAnsi="FrankRuehl" w:cs="FrankRuehl"/>
        </w:rPr>
      </w:pPr>
      <w:r w:rsidRPr="00866557">
        <w:rPr>
          <w:rFonts w:ascii="FrankRuehl" w:hAnsi="FrankRuehl" w:cs="FrankRuehl"/>
          <w:sz w:val="28"/>
          <w:szCs w:val="28"/>
          <w:rtl/>
        </w:rPr>
        <w:t xml:space="preserve">המשיב בתגובתו לא כפר </w:t>
      </w:r>
      <w:r w:rsidR="00532169" w:rsidRPr="00866557">
        <w:rPr>
          <w:rFonts w:ascii="FrankRuehl" w:hAnsi="FrankRuehl" w:cs="FrankRuehl" w:hint="cs"/>
          <w:sz w:val="28"/>
          <w:szCs w:val="28"/>
          <w:rtl/>
        </w:rPr>
        <w:t>כי פרסם את ה</w:t>
      </w:r>
      <w:r w:rsidRPr="00866557">
        <w:rPr>
          <w:rFonts w:ascii="FrankRuehl" w:hAnsi="FrankRuehl" w:cs="FrankRuehl"/>
          <w:sz w:val="28"/>
          <w:szCs w:val="28"/>
          <w:rtl/>
        </w:rPr>
        <w:t xml:space="preserve">פרסומים </w:t>
      </w:r>
      <w:r w:rsidR="00532169" w:rsidRPr="00866557">
        <w:rPr>
          <w:rFonts w:ascii="FrankRuehl" w:hAnsi="FrankRuehl" w:cs="FrankRuehl" w:hint="cs"/>
          <w:sz w:val="28"/>
          <w:szCs w:val="28"/>
          <w:rtl/>
        </w:rPr>
        <w:t xml:space="preserve">אליהם הפנתה המבקשת. נטען כי המשיב לא </w:t>
      </w:r>
      <w:r w:rsidRPr="00866557">
        <w:rPr>
          <w:rFonts w:ascii="FrankRuehl" w:hAnsi="FrankRuehl" w:cs="FrankRuehl"/>
          <w:sz w:val="28"/>
          <w:szCs w:val="28"/>
          <w:rtl/>
        </w:rPr>
        <w:t>יזם "</w:t>
      </w:r>
      <w:r w:rsidRPr="00866557">
        <w:rPr>
          <w:rFonts w:ascii="FrankRuehl" w:hAnsi="FrankRuehl" w:cs="Miriam"/>
          <w:sz w:val="28"/>
          <w:rtl/>
        </w:rPr>
        <w:t>שום שידור או ראיון, אלו תמיד הגיעו בתגובה לפרסומים לגבי המשיב אשר מכפישים את שמו</w:t>
      </w:r>
      <w:r w:rsidRPr="00866557">
        <w:rPr>
          <w:rFonts w:ascii="FrankRuehl" w:hAnsi="FrankRuehl" w:cs="FrankRuehl"/>
          <w:sz w:val="28"/>
          <w:szCs w:val="28"/>
          <w:rtl/>
        </w:rPr>
        <w:t xml:space="preserve">". </w:t>
      </w:r>
      <w:r w:rsidR="00A97CE3">
        <w:rPr>
          <w:rFonts w:ascii="FrankRuehl" w:hAnsi="FrankRuehl" w:cs="FrankRuehl" w:hint="cs"/>
          <w:sz w:val="28"/>
          <w:szCs w:val="28"/>
          <w:rtl/>
        </w:rPr>
        <w:t xml:space="preserve">עוד טען כי התובענה היא "מניפולאציה דורסנית", באמצעות שמוש בהליכים משפטיים וכי טענות המבקשת כי התיק כנגדה בעניין </w:t>
      </w:r>
      <w:r w:rsidR="00A46ED4">
        <w:rPr>
          <w:rFonts w:ascii="FrankRuehl" w:hAnsi="FrankRuehl" w:cs="FrankRuehl" w:hint="cs"/>
          <w:sz w:val="28"/>
          <w:szCs w:val="28"/>
          <w:rtl/>
        </w:rPr>
        <w:t>הרצח</w:t>
      </w:r>
      <w:r w:rsidR="00A97CE3">
        <w:rPr>
          <w:rFonts w:ascii="FrankRuehl" w:hAnsi="FrankRuehl" w:cs="FrankRuehl" w:hint="cs"/>
          <w:sz w:val="28"/>
          <w:szCs w:val="28"/>
          <w:rtl/>
        </w:rPr>
        <w:t xml:space="preserve"> נסגר במשטרת ישראל "מחוסר אשמה" אינה נכונה. המשיב פירט ארוכות אודות הליכים</w:t>
      </w:r>
      <w:r w:rsidR="005D18C9">
        <w:rPr>
          <w:rFonts w:ascii="FrankRuehl" w:hAnsi="FrankRuehl" w:cs="FrankRuehl" w:hint="cs"/>
          <w:sz w:val="28"/>
          <w:szCs w:val="28"/>
          <w:rtl/>
        </w:rPr>
        <w:t xml:space="preserve"> </w:t>
      </w:r>
      <w:r w:rsidR="00A97CE3">
        <w:rPr>
          <w:rFonts w:ascii="FrankRuehl" w:hAnsi="FrankRuehl" w:cs="FrankRuehl" w:hint="cs"/>
          <w:sz w:val="28"/>
          <w:szCs w:val="28"/>
          <w:rtl/>
        </w:rPr>
        <w:t xml:space="preserve">אחרים שהתנהלו בין הצדדים </w:t>
      </w:r>
      <w:r w:rsidR="00A97CE3">
        <w:rPr>
          <w:rFonts w:ascii="FrankRuehl" w:hAnsi="FrankRuehl" w:cs="FrankRuehl"/>
          <w:sz w:val="28"/>
          <w:szCs w:val="28"/>
          <w:rtl/>
        </w:rPr>
        <w:t>–</w:t>
      </w:r>
      <w:r w:rsidR="00A97CE3">
        <w:rPr>
          <w:rFonts w:ascii="FrankRuehl" w:hAnsi="FrankRuehl" w:cs="FrankRuehl" w:hint="cs"/>
          <w:sz w:val="28"/>
          <w:szCs w:val="28"/>
          <w:rtl/>
        </w:rPr>
        <w:t xml:space="preserve"> תביעת לשון הרע מטעם המבקשת וטען כי מדובר בתביעות השתקה כאשר המבקשת עצמה הפרה צו איסור פרסום שניתן שם. </w:t>
      </w:r>
      <w:r w:rsidR="00325AEC">
        <w:rPr>
          <w:rFonts w:ascii="FrankRuehl" w:hAnsi="FrankRuehl" w:cs="FrankRuehl" w:hint="cs"/>
          <w:sz w:val="28"/>
          <w:szCs w:val="28"/>
          <w:rtl/>
        </w:rPr>
        <w:t xml:space="preserve"> נטען כי תביעה זו תוקנה לפי החלטות שניתנו ולאחר מכן נמחקה לבקשת המבקשת שהגישה תביעה חדשה כנגד המשיב וצדדי ג' וגם הליך זה נמחק. המשיב הכחיש טענות המבקשת. </w:t>
      </w:r>
      <w:r w:rsidR="00A97CE3">
        <w:rPr>
          <w:rFonts w:ascii="FrankRuehl" w:hAnsi="FrankRuehl" w:cs="FrankRuehl" w:hint="cs"/>
          <w:sz w:val="28"/>
          <w:szCs w:val="28"/>
          <w:rtl/>
        </w:rPr>
        <w:t>אשר</w:t>
      </w:r>
      <w:r w:rsidRPr="00866557">
        <w:rPr>
          <w:rFonts w:ascii="FrankRuehl" w:hAnsi="FrankRuehl" w:cs="FrankRuehl"/>
          <w:sz w:val="28"/>
          <w:szCs w:val="28"/>
          <w:rtl/>
        </w:rPr>
        <w:t xml:space="preserve"> </w:t>
      </w:r>
      <w:r w:rsidR="00A97CE3">
        <w:rPr>
          <w:rFonts w:ascii="FrankRuehl" w:hAnsi="FrankRuehl" w:cs="FrankRuehl" w:hint="cs"/>
          <w:sz w:val="28"/>
          <w:szCs w:val="28"/>
          <w:rtl/>
        </w:rPr>
        <w:t>ל</w:t>
      </w:r>
      <w:r w:rsidRPr="00866557">
        <w:rPr>
          <w:rFonts w:ascii="FrankRuehl" w:hAnsi="FrankRuehl" w:cs="FrankRuehl"/>
          <w:sz w:val="28"/>
          <w:szCs w:val="28"/>
          <w:rtl/>
        </w:rPr>
        <w:t>סרטוני</w:t>
      </w:r>
      <w:r w:rsidR="00AD334D" w:rsidRPr="00866557">
        <w:rPr>
          <w:rFonts w:ascii="FrankRuehl" w:hAnsi="FrankRuehl" w:cs="FrankRuehl" w:hint="cs"/>
          <w:sz w:val="28"/>
          <w:szCs w:val="28"/>
          <w:rtl/>
        </w:rPr>
        <w:t>ם</w:t>
      </w:r>
      <w:r w:rsidRPr="00866557">
        <w:rPr>
          <w:rFonts w:ascii="FrankRuehl" w:hAnsi="FrankRuehl" w:cs="FrankRuehl"/>
          <w:sz w:val="28"/>
          <w:szCs w:val="28"/>
          <w:rtl/>
        </w:rPr>
        <w:t xml:space="preserve"> </w:t>
      </w:r>
      <w:r w:rsidR="00AD334D" w:rsidRPr="00866557">
        <w:rPr>
          <w:rFonts w:ascii="FrankRuehl" w:hAnsi="FrankRuehl" w:cs="FrankRuehl" w:hint="cs"/>
          <w:sz w:val="28"/>
          <w:szCs w:val="28"/>
          <w:rtl/>
        </w:rPr>
        <w:t>ב</w:t>
      </w:r>
      <w:r w:rsidR="00A97CE3">
        <w:rPr>
          <w:rFonts w:ascii="FrankRuehl" w:hAnsi="FrankRuehl" w:cs="FrankRuehl" w:hint="cs"/>
          <w:sz w:val="28"/>
          <w:szCs w:val="28"/>
          <w:rtl/>
        </w:rPr>
        <w:t>ערוץ "</w:t>
      </w:r>
      <w:r w:rsidRPr="00866557">
        <w:rPr>
          <w:rFonts w:ascii="FrankRuehl" w:hAnsi="FrankRuehl" w:cs="FrankRuehl"/>
          <w:sz w:val="28"/>
          <w:szCs w:val="28"/>
          <w:rtl/>
        </w:rPr>
        <w:t xml:space="preserve">יוטיוב" נטען כי המשיב נענה לבקשה לראיון לאחר שפורסם בכלי התקשורת </w:t>
      </w:r>
      <w:r w:rsidR="00AD334D" w:rsidRPr="00866557">
        <w:rPr>
          <w:rFonts w:ascii="FrankRuehl" w:hAnsi="FrankRuehl" w:cs="FrankRuehl" w:hint="cs"/>
          <w:sz w:val="28"/>
          <w:szCs w:val="28"/>
          <w:rtl/>
        </w:rPr>
        <w:t xml:space="preserve">כי נמצאה </w:t>
      </w:r>
      <w:r w:rsidRPr="00866557">
        <w:rPr>
          <w:rFonts w:ascii="FrankRuehl" w:hAnsi="FrankRuehl" w:cs="FrankRuehl"/>
          <w:sz w:val="28"/>
          <w:szCs w:val="28"/>
          <w:rtl/>
        </w:rPr>
        <w:t>התאמה גנטית לשערה של המשיב בזירת הרצח</w:t>
      </w:r>
      <w:r w:rsidR="00AD334D" w:rsidRPr="00866557">
        <w:rPr>
          <w:rFonts w:ascii="FrankRuehl" w:hAnsi="FrankRuehl" w:cs="FrankRuehl" w:hint="cs"/>
          <w:sz w:val="28"/>
          <w:szCs w:val="28"/>
          <w:rtl/>
        </w:rPr>
        <w:t xml:space="preserve"> </w:t>
      </w:r>
      <w:r w:rsidR="00A97CE3">
        <w:rPr>
          <w:rFonts w:ascii="FrankRuehl" w:hAnsi="FrankRuehl" w:cs="FrankRuehl" w:hint="cs"/>
          <w:sz w:val="28"/>
          <w:szCs w:val="28"/>
          <w:rtl/>
        </w:rPr>
        <w:t xml:space="preserve">של תאיר ראדה ז"ל </w:t>
      </w:r>
      <w:r w:rsidR="00AD334D" w:rsidRPr="00866557">
        <w:rPr>
          <w:rFonts w:ascii="FrankRuehl" w:hAnsi="FrankRuehl" w:cs="FrankRuehl"/>
          <w:sz w:val="28"/>
          <w:szCs w:val="28"/>
          <w:rtl/>
        </w:rPr>
        <w:t>–</w:t>
      </w:r>
      <w:r w:rsidR="00AD334D" w:rsidRPr="00866557">
        <w:rPr>
          <w:rFonts w:ascii="FrankRuehl" w:hAnsi="FrankRuehl" w:cs="FrankRuehl" w:hint="cs"/>
          <w:sz w:val="28"/>
          <w:szCs w:val="28"/>
          <w:rtl/>
        </w:rPr>
        <w:t xml:space="preserve"> מה שלטענתו, מ</w:t>
      </w:r>
      <w:r w:rsidR="00A97CE3">
        <w:rPr>
          <w:rFonts w:ascii="FrankRuehl" w:hAnsi="FrankRuehl" w:cs="FrankRuehl" w:hint="cs"/>
          <w:sz w:val="28"/>
          <w:szCs w:val="28"/>
          <w:rtl/>
        </w:rPr>
        <w:t>וכיח את מעורבות המבקשת בפרשת הרצח.</w:t>
      </w:r>
      <w:r w:rsidRPr="00866557">
        <w:rPr>
          <w:rFonts w:ascii="FrankRuehl" w:hAnsi="FrankRuehl" w:cs="FrankRuehl"/>
          <w:sz w:val="28"/>
          <w:szCs w:val="28"/>
          <w:rtl/>
        </w:rPr>
        <w:t xml:space="preserve"> לטענת המשיב, המבקשת עצמה הודתה כי האלימות בעת החיים המשותפים של הצדדים הייתה הדדית</w:t>
      </w:r>
      <w:r w:rsidR="00AD334D" w:rsidRPr="00866557">
        <w:rPr>
          <w:rFonts w:ascii="FrankRuehl" w:hAnsi="FrankRuehl" w:cs="FrankRuehl" w:hint="cs"/>
          <w:sz w:val="28"/>
          <w:szCs w:val="28"/>
          <w:rtl/>
        </w:rPr>
        <w:t>,</w:t>
      </w:r>
      <w:r w:rsidRPr="00866557">
        <w:rPr>
          <w:rFonts w:ascii="FrankRuehl" w:hAnsi="FrankRuehl" w:cs="FrankRuehl"/>
          <w:sz w:val="28"/>
          <w:szCs w:val="28"/>
          <w:rtl/>
        </w:rPr>
        <w:t xml:space="preserve"> ובהקשר זה הפנה לראיון טלוויזיה שערכה המבקשת. </w:t>
      </w:r>
      <w:r w:rsidR="00325AEC">
        <w:rPr>
          <w:rFonts w:ascii="FrankRuehl" w:hAnsi="FrankRuehl" w:cs="FrankRuehl" w:hint="cs"/>
          <w:sz w:val="28"/>
          <w:szCs w:val="28"/>
          <w:rtl/>
        </w:rPr>
        <w:t xml:space="preserve">לגוף </w:t>
      </w:r>
      <w:r w:rsidR="005D18C9" w:rsidRPr="006C4436">
        <w:rPr>
          <w:rFonts w:ascii="FrankRuehl" w:hAnsi="FrankRuehl" w:cs="FrankRuehl" w:hint="cs"/>
          <w:sz w:val="28"/>
          <w:szCs w:val="28"/>
          <w:rtl/>
        </w:rPr>
        <w:t>פרסומים</w:t>
      </w:r>
      <w:r w:rsidR="00325AEC" w:rsidRPr="006C4436">
        <w:rPr>
          <w:rFonts w:ascii="FrankRuehl" w:hAnsi="FrankRuehl" w:cs="FrankRuehl" w:hint="cs"/>
          <w:sz w:val="28"/>
          <w:szCs w:val="28"/>
          <w:rtl/>
        </w:rPr>
        <w:t xml:space="preserve"> שונים</w:t>
      </w:r>
      <w:r w:rsidR="005D18C9" w:rsidRPr="006C4436">
        <w:rPr>
          <w:rFonts w:ascii="FrankRuehl" w:hAnsi="FrankRuehl" w:cs="FrankRuehl" w:hint="cs"/>
          <w:sz w:val="28"/>
          <w:szCs w:val="28"/>
          <w:rtl/>
        </w:rPr>
        <w:t>, טען המשיב כי לא פירסם</w:t>
      </w:r>
      <w:r w:rsidR="00325AEC" w:rsidRPr="006C4436">
        <w:rPr>
          <w:rFonts w:ascii="FrankRuehl" w:hAnsi="FrankRuehl" w:cs="FrankRuehl" w:hint="cs"/>
          <w:sz w:val="28"/>
          <w:szCs w:val="28"/>
          <w:rtl/>
        </w:rPr>
        <w:t xml:space="preserve"> פרטים רפואיים</w:t>
      </w:r>
      <w:r w:rsidR="005D18C9" w:rsidRPr="006C4436">
        <w:rPr>
          <w:rFonts w:ascii="FrankRuehl" w:hAnsi="FrankRuehl" w:cs="FrankRuehl" w:hint="cs"/>
          <w:sz w:val="28"/>
          <w:szCs w:val="28"/>
          <w:rtl/>
        </w:rPr>
        <w:t>,</w:t>
      </w:r>
      <w:r w:rsidR="00325AEC" w:rsidRPr="006C4436">
        <w:rPr>
          <w:rFonts w:ascii="FrankRuehl" w:hAnsi="FrankRuehl" w:cs="FrankRuehl" w:hint="cs"/>
          <w:sz w:val="28"/>
          <w:szCs w:val="28"/>
          <w:rtl/>
        </w:rPr>
        <w:t xml:space="preserve"> אלא צטט מחוות הדעת שהגישה המבקשת</w:t>
      </w:r>
      <w:r w:rsidR="005D18C9" w:rsidRPr="006C4436">
        <w:rPr>
          <w:rFonts w:ascii="FrankRuehl" w:hAnsi="FrankRuehl" w:cs="FrankRuehl" w:hint="cs"/>
          <w:sz w:val="28"/>
          <w:szCs w:val="28"/>
          <w:rtl/>
        </w:rPr>
        <w:t xml:space="preserve"> ב</w:t>
      </w:r>
      <w:r w:rsidR="00325AEC" w:rsidRPr="006C4436">
        <w:rPr>
          <w:rFonts w:ascii="FrankRuehl" w:hAnsi="FrankRuehl" w:cs="FrankRuehl" w:hint="cs"/>
          <w:sz w:val="28"/>
          <w:szCs w:val="28"/>
          <w:rtl/>
        </w:rPr>
        <w:t>תביע</w:t>
      </w:r>
      <w:r w:rsidR="005D18C9" w:rsidRPr="006C4436">
        <w:rPr>
          <w:rFonts w:ascii="FrankRuehl" w:hAnsi="FrankRuehl" w:cs="FrankRuehl" w:hint="cs"/>
          <w:sz w:val="28"/>
          <w:szCs w:val="28"/>
          <w:rtl/>
        </w:rPr>
        <w:t xml:space="preserve">ת </w:t>
      </w:r>
      <w:r w:rsidR="00325AEC" w:rsidRPr="006C4436">
        <w:rPr>
          <w:rFonts w:ascii="FrankRuehl" w:hAnsi="FrankRuehl" w:cs="FrankRuehl" w:hint="cs"/>
          <w:sz w:val="28"/>
          <w:szCs w:val="28"/>
          <w:rtl/>
        </w:rPr>
        <w:t>לשון</w:t>
      </w:r>
      <w:r w:rsidR="005D18C9" w:rsidRPr="006C4436">
        <w:rPr>
          <w:rFonts w:ascii="FrankRuehl" w:hAnsi="FrankRuehl" w:cs="FrankRuehl" w:hint="cs"/>
          <w:sz w:val="28"/>
          <w:szCs w:val="28"/>
          <w:rtl/>
        </w:rPr>
        <w:t xml:space="preserve"> הרע שהגישה כנגדו. </w:t>
      </w:r>
      <w:r w:rsidR="00325AEC" w:rsidRPr="006C4436">
        <w:rPr>
          <w:rFonts w:ascii="FrankRuehl" w:hAnsi="FrankRuehl" w:cs="FrankRuehl" w:hint="cs"/>
          <w:sz w:val="28"/>
          <w:szCs w:val="28"/>
          <w:rtl/>
        </w:rPr>
        <w:t>עוד טען כי לא הפעיל א</w:t>
      </w:r>
      <w:r w:rsidR="005D18C9" w:rsidRPr="006C4436">
        <w:rPr>
          <w:rFonts w:ascii="FrankRuehl" w:hAnsi="FrankRuehl" w:cs="FrankRuehl" w:hint="cs"/>
          <w:sz w:val="28"/>
          <w:szCs w:val="28"/>
          <w:rtl/>
        </w:rPr>
        <w:t>ת הפונים בערוץ הטלגארם "של אמת".</w:t>
      </w:r>
      <w:r w:rsidR="00325AEC" w:rsidRPr="006C4436">
        <w:rPr>
          <w:rFonts w:ascii="FrankRuehl" w:hAnsi="FrankRuehl" w:cs="FrankRuehl" w:hint="cs"/>
          <w:sz w:val="28"/>
          <w:szCs w:val="28"/>
          <w:rtl/>
        </w:rPr>
        <w:t xml:space="preserve"> </w:t>
      </w:r>
    </w:p>
    <w:p w:rsidR="003E1FED" w:rsidRDefault="003E1FED" w:rsidP="003E1FED">
      <w:pPr>
        <w:pStyle w:val="af"/>
        <w:spacing w:line="360" w:lineRule="auto"/>
        <w:ind w:left="360"/>
        <w:jc w:val="both"/>
        <w:rPr>
          <w:rFonts w:ascii="FrankRuehl" w:hAnsi="FrankRuehl" w:cs="FrankRuehl"/>
          <w:sz w:val="28"/>
          <w:szCs w:val="28"/>
          <w:rtl/>
        </w:rPr>
      </w:pPr>
    </w:p>
    <w:p w:rsidR="003E1FED" w:rsidRDefault="00D46DCE" w:rsidP="003E1FED">
      <w:pPr>
        <w:pStyle w:val="af"/>
        <w:spacing w:line="360" w:lineRule="auto"/>
        <w:ind w:left="360"/>
        <w:jc w:val="both"/>
        <w:rPr>
          <w:rFonts w:ascii="FrankRuehl" w:hAnsi="FrankRuehl" w:cs="FrankRuehl"/>
          <w:sz w:val="28"/>
          <w:szCs w:val="28"/>
          <w:rtl/>
        </w:rPr>
      </w:pPr>
      <w:r w:rsidRPr="006C4436">
        <w:rPr>
          <w:rFonts w:ascii="FrankRuehl" w:hAnsi="FrankRuehl" w:cs="FrankRuehl"/>
          <w:sz w:val="28"/>
          <w:szCs w:val="28"/>
          <w:rtl/>
        </w:rPr>
        <w:lastRenderedPageBreak/>
        <w:t xml:space="preserve">המשיב הודה כי פרסם תכנים מיניים של המבקשת וכי הדבר נעשה בתגובה לכך שהמבקשת החלה לצאת </w:t>
      </w:r>
      <w:r w:rsidRPr="00866557">
        <w:rPr>
          <w:rFonts w:ascii="FrankRuehl" w:hAnsi="FrankRuehl" w:cs="FrankRuehl"/>
          <w:sz w:val="28"/>
          <w:szCs w:val="28"/>
          <w:rtl/>
        </w:rPr>
        <w:t>עם חברו הקרוב של המשיב. לטענת המשיב, הוא לא פרסם את מקום מגוריה של המבקשת אלא העלה השערה</w:t>
      </w:r>
      <w:r w:rsidR="00154C4C">
        <w:rPr>
          <w:rFonts w:ascii="FrankRuehl" w:hAnsi="FrankRuehl" w:cs="FrankRuehl"/>
          <w:sz w:val="28"/>
          <w:szCs w:val="28"/>
          <w:rtl/>
        </w:rPr>
        <w:t xml:space="preserve"> בדְבר מקום הימצאותה הנוכחי ו</w:t>
      </w:r>
      <w:r w:rsidRPr="00866557">
        <w:rPr>
          <w:rFonts w:ascii="FrankRuehl" w:hAnsi="FrankRuehl" w:cs="FrankRuehl"/>
          <w:sz w:val="28"/>
          <w:szCs w:val="28"/>
          <w:rtl/>
        </w:rPr>
        <w:t>הצילומים האישיים של המבקשת שפורסמו ברשתות החברתיות הי</w:t>
      </w:r>
      <w:r w:rsidR="00154C4C">
        <w:rPr>
          <w:rFonts w:ascii="FrankRuehl" w:hAnsi="FrankRuehl" w:cs="FrankRuehl" w:hint="cs"/>
          <w:sz w:val="28"/>
          <w:szCs w:val="28"/>
          <w:rtl/>
        </w:rPr>
        <w:t>ו</w:t>
      </w:r>
      <w:r w:rsidRPr="00866557">
        <w:rPr>
          <w:rFonts w:ascii="FrankRuehl" w:hAnsi="FrankRuehl" w:cs="FrankRuehl"/>
          <w:sz w:val="28"/>
          <w:szCs w:val="28"/>
          <w:rtl/>
        </w:rPr>
        <w:t xml:space="preserve"> מטושטשים. לטענת המשיב, המבקשת היא זו אשר "</w:t>
      </w:r>
      <w:r w:rsidRPr="00866557">
        <w:rPr>
          <w:rFonts w:ascii="FrankRuehl" w:hAnsi="FrankRuehl" w:cs="Miriam"/>
          <w:sz w:val="28"/>
          <w:rtl/>
        </w:rPr>
        <w:t>מהלכת אימים על המשיב</w:t>
      </w:r>
      <w:r w:rsidRPr="00866557">
        <w:rPr>
          <w:rFonts w:ascii="FrankRuehl" w:hAnsi="FrankRuehl" w:cs="FrankRuehl"/>
          <w:sz w:val="28"/>
          <w:szCs w:val="28"/>
          <w:rtl/>
        </w:rPr>
        <w:t>" ו</w:t>
      </w:r>
      <w:r w:rsidR="00325AEC">
        <w:rPr>
          <w:rFonts w:ascii="FrankRuehl" w:hAnsi="FrankRuehl" w:cs="FrankRuehl" w:hint="cs"/>
          <w:sz w:val="28"/>
          <w:szCs w:val="28"/>
          <w:rtl/>
        </w:rPr>
        <w:t xml:space="preserve">התובענה דנן היא </w:t>
      </w:r>
      <w:r w:rsidRPr="00866557">
        <w:rPr>
          <w:rFonts w:ascii="FrankRuehl" w:hAnsi="FrankRuehl" w:cs="FrankRuehl"/>
          <w:sz w:val="28"/>
          <w:szCs w:val="28"/>
          <w:rtl/>
        </w:rPr>
        <w:t>פגיעה בחופש הביטוי</w:t>
      </w:r>
      <w:r w:rsidR="00AD334D" w:rsidRPr="00866557">
        <w:rPr>
          <w:rFonts w:ascii="FrankRuehl" w:hAnsi="FrankRuehl" w:cs="FrankRuehl" w:hint="cs"/>
          <w:sz w:val="28"/>
          <w:szCs w:val="28"/>
          <w:rtl/>
        </w:rPr>
        <w:t>,</w:t>
      </w:r>
      <w:r w:rsidRPr="00866557">
        <w:rPr>
          <w:rFonts w:ascii="FrankRuehl" w:hAnsi="FrankRuehl" w:cs="FrankRuehl"/>
          <w:sz w:val="28"/>
          <w:szCs w:val="28"/>
          <w:rtl/>
        </w:rPr>
        <w:t xml:space="preserve"> </w:t>
      </w:r>
      <w:r w:rsidR="005D18C9">
        <w:rPr>
          <w:rFonts w:ascii="FrankRuehl" w:hAnsi="FrankRuehl" w:cs="FrankRuehl" w:hint="cs"/>
          <w:sz w:val="28"/>
          <w:szCs w:val="28"/>
          <w:rtl/>
        </w:rPr>
        <w:t>מצג חד-צדדי ודורסני כל</w:t>
      </w:r>
      <w:r w:rsidR="00154C4C">
        <w:rPr>
          <w:rFonts w:ascii="FrankRuehl" w:hAnsi="FrankRuehl" w:cs="FrankRuehl" w:hint="cs"/>
          <w:sz w:val="28"/>
          <w:szCs w:val="28"/>
          <w:rtl/>
        </w:rPr>
        <w:t>פ</w:t>
      </w:r>
      <w:r w:rsidR="005D18C9">
        <w:rPr>
          <w:rFonts w:ascii="FrankRuehl" w:hAnsi="FrankRuehl" w:cs="FrankRuehl" w:hint="cs"/>
          <w:sz w:val="28"/>
          <w:szCs w:val="28"/>
          <w:rtl/>
        </w:rPr>
        <w:t>י</w:t>
      </w:r>
      <w:r w:rsidR="00154C4C">
        <w:rPr>
          <w:rFonts w:ascii="FrankRuehl" w:hAnsi="FrankRuehl" w:cs="FrankRuehl" w:hint="cs"/>
          <w:sz w:val="28"/>
          <w:szCs w:val="28"/>
          <w:rtl/>
        </w:rPr>
        <w:t xml:space="preserve"> המשיב, </w:t>
      </w:r>
      <w:r w:rsidRPr="00866557">
        <w:rPr>
          <w:rFonts w:ascii="FrankRuehl" w:hAnsi="FrankRuehl" w:cs="FrankRuehl"/>
          <w:sz w:val="28"/>
          <w:szCs w:val="28"/>
          <w:rtl/>
        </w:rPr>
        <w:t>ונועדה להסוות את מעורבות המבקשת בפרשיית הרצח האמורה.</w:t>
      </w:r>
      <w:r w:rsidR="00A97CE3">
        <w:rPr>
          <w:rFonts w:ascii="FrankRuehl" w:hAnsi="FrankRuehl" w:cs="FrankRuehl" w:hint="cs"/>
          <w:sz w:val="28"/>
          <w:szCs w:val="28"/>
          <w:rtl/>
        </w:rPr>
        <w:t xml:space="preserve"> </w:t>
      </w:r>
      <w:r w:rsidR="00154C4C">
        <w:rPr>
          <w:rFonts w:ascii="FrankRuehl" w:hAnsi="FrankRuehl" w:cs="FrankRuehl" w:hint="cs"/>
          <w:sz w:val="28"/>
          <w:szCs w:val="28"/>
          <w:rtl/>
        </w:rPr>
        <w:t>עוד נטען כי המבקשת עצמה ממשיכה</w:t>
      </w:r>
      <w:r w:rsidR="005D18C9">
        <w:rPr>
          <w:rFonts w:ascii="FrankRuehl" w:hAnsi="FrankRuehl" w:cs="FrankRuehl" w:hint="cs"/>
          <w:sz w:val="28"/>
          <w:szCs w:val="28"/>
          <w:rtl/>
        </w:rPr>
        <w:t xml:space="preserve"> </w:t>
      </w:r>
      <w:r w:rsidR="00154C4C">
        <w:rPr>
          <w:rFonts w:ascii="FrankRuehl" w:hAnsi="FrankRuehl" w:cs="FrankRuehl" w:hint="cs"/>
          <w:sz w:val="28"/>
          <w:szCs w:val="28"/>
          <w:rtl/>
        </w:rPr>
        <w:t xml:space="preserve">להעלות את הנושאים על סדר היום כשהיא מתראיינת בשלל פלטפורמות </w:t>
      </w:r>
      <w:r w:rsidR="00154C4C">
        <w:rPr>
          <w:rFonts w:ascii="FrankRuehl" w:hAnsi="FrankRuehl" w:cs="FrankRuehl"/>
          <w:sz w:val="28"/>
          <w:szCs w:val="28"/>
          <w:rtl/>
        </w:rPr>
        <w:t>–</w:t>
      </w:r>
      <w:r w:rsidR="005D18C9">
        <w:rPr>
          <w:rFonts w:ascii="FrankRuehl" w:hAnsi="FrankRuehl" w:cs="FrankRuehl" w:hint="cs"/>
          <w:sz w:val="28"/>
          <w:szCs w:val="28"/>
          <w:rtl/>
        </w:rPr>
        <w:t>כדוגמ</w:t>
      </w:r>
      <w:r w:rsidR="00154C4C">
        <w:rPr>
          <w:rFonts w:ascii="FrankRuehl" w:hAnsi="FrankRuehl" w:cs="FrankRuehl" w:hint="cs"/>
          <w:sz w:val="28"/>
          <w:szCs w:val="28"/>
          <w:rtl/>
        </w:rPr>
        <w:t xml:space="preserve">ת ערב ההכרעה בעניין המשפט החוזר והכרעת הדין של רומן זדורוב. </w:t>
      </w:r>
    </w:p>
    <w:p w:rsidR="003E1FED" w:rsidRDefault="003E1FED" w:rsidP="003E1FED">
      <w:pPr>
        <w:pStyle w:val="af"/>
        <w:spacing w:line="360" w:lineRule="auto"/>
        <w:ind w:left="360"/>
        <w:jc w:val="both"/>
        <w:rPr>
          <w:rFonts w:ascii="FrankRuehl" w:hAnsi="FrankRuehl" w:cs="FrankRuehl"/>
          <w:sz w:val="28"/>
          <w:szCs w:val="28"/>
          <w:rtl/>
        </w:rPr>
      </w:pPr>
    </w:p>
    <w:p w:rsidR="00690BE7" w:rsidRPr="00690BE7" w:rsidRDefault="005D18C9" w:rsidP="007631DC">
      <w:pPr>
        <w:pStyle w:val="af"/>
        <w:spacing w:line="360" w:lineRule="auto"/>
        <w:ind w:left="360"/>
        <w:jc w:val="both"/>
        <w:rPr>
          <w:rFonts w:ascii="FrankRuehl" w:hAnsi="FrankRuehl" w:cs="FrankRuehl"/>
        </w:rPr>
      </w:pPr>
      <w:r>
        <w:rPr>
          <w:rFonts w:ascii="FrankRuehl" w:hAnsi="FrankRuehl" w:cs="FrankRuehl" w:hint="cs"/>
          <w:sz w:val="28"/>
          <w:szCs w:val="28"/>
          <w:rtl/>
        </w:rPr>
        <w:t>נ</w:t>
      </w:r>
      <w:r w:rsidR="00154C4C">
        <w:rPr>
          <w:rFonts w:ascii="FrankRuehl" w:hAnsi="FrankRuehl" w:cs="FrankRuehl" w:hint="cs"/>
          <w:sz w:val="28"/>
          <w:szCs w:val="28"/>
          <w:rtl/>
        </w:rPr>
        <w:t xml:space="preserve">טען כי הפרסומים אינם אינטנסיבים וכפייתים, </w:t>
      </w:r>
      <w:r w:rsidR="006B0D72" w:rsidRPr="006C4436">
        <w:rPr>
          <w:rFonts w:ascii="FrankRuehl" w:hAnsi="FrankRuehl" w:cs="FrankRuehl" w:hint="cs"/>
          <w:sz w:val="28"/>
          <w:szCs w:val="28"/>
          <w:rtl/>
        </w:rPr>
        <w:t>ו</w:t>
      </w:r>
      <w:r w:rsidR="00154C4C" w:rsidRPr="006C4436">
        <w:rPr>
          <w:rFonts w:ascii="FrankRuehl" w:hAnsi="FrankRuehl" w:cs="FrankRuehl" w:hint="cs"/>
          <w:sz w:val="28"/>
          <w:szCs w:val="28"/>
          <w:rtl/>
        </w:rPr>
        <w:t>כ</w:t>
      </w:r>
      <w:r w:rsidR="00154C4C">
        <w:rPr>
          <w:rFonts w:ascii="FrankRuehl" w:hAnsi="FrankRuehl" w:cs="FrankRuehl" w:hint="cs"/>
          <w:sz w:val="28"/>
          <w:szCs w:val="28"/>
          <w:rtl/>
        </w:rPr>
        <w:t xml:space="preserve">י איתר אנשים המכירים את המבקשת </w:t>
      </w:r>
      <w:r w:rsidR="00154C4C" w:rsidRPr="00154C4C">
        <w:rPr>
          <w:rFonts w:ascii="Miriam" w:hAnsi="Miriam" w:cs="Miriam"/>
          <w:rtl/>
        </w:rPr>
        <w:t>"מתוך רצון להבין כמה פרטים שעלו, סתירות שהתגלו (למשל בנושא עברה העקוב מדם של משפחתה)..."</w:t>
      </w:r>
      <w:r w:rsidR="00154C4C">
        <w:rPr>
          <w:rFonts w:ascii="Miriam" w:hAnsi="Miriam" w:cs="Miriam" w:hint="cs"/>
          <w:rtl/>
        </w:rPr>
        <w:t>.</w:t>
      </w:r>
      <w:r w:rsidR="007631DC">
        <w:rPr>
          <w:rFonts w:ascii="FrankRuehl" w:hAnsi="FrankRuehl" w:cs="FrankRuehl" w:hint="cs"/>
          <w:sz w:val="28"/>
          <w:szCs w:val="28"/>
          <w:rtl/>
        </w:rPr>
        <w:t xml:space="preserve"> </w:t>
      </w:r>
      <w:r w:rsidR="00154C4C" w:rsidRPr="006C4436">
        <w:rPr>
          <w:rFonts w:ascii="FrankRuehl" w:hAnsi="FrankRuehl" w:cs="FrankRuehl" w:hint="cs"/>
          <w:sz w:val="28"/>
          <w:szCs w:val="28"/>
          <w:rtl/>
        </w:rPr>
        <w:t xml:space="preserve">נטען כי יש להפריד בין </w:t>
      </w:r>
      <w:r w:rsidR="00220F4F" w:rsidRPr="006C4436">
        <w:rPr>
          <w:rFonts w:ascii="FrankRuehl" w:hAnsi="FrankRuehl" w:cs="FrankRuehl" w:hint="cs"/>
          <w:sz w:val="28"/>
          <w:szCs w:val="28"/>
          <w:rtl/>
        </w:rPr>
        <w:t>פרסומיו הוא שנועדו להשמיע את קולו במצב הלא מאוזן מול המבקשת שהאשימה א</w:t>
      </w:r>
      <w:r w:rsidR="006B0D72" w:rsidRPr="006C4436">
        <w:rPr>
          <w:rFonts w:ascii="FrankRuehl" w:hAnsi="FrankRuehl" w:cs="FrankRuehl" w:hint="cs"/>
          <w:sz w:val="28"/>
          <w:szCs w:val="28"/>
          <w:rtl/>
        </w:rPr>
        <w:t>ו</w:t>
      </w:r>
      <w:r w:rsidR="00220F4F" w:rsidRPr="006C4436">
        <w:rPr>
          <w:rFonts w:ascii="FrankRuehl" w:hAnsi="FrankRuehl" w:cs="FrankRuehl" w:hint="cs"/>
          <w:sz w:val="28"/>
          <w:szCs w:val="28"/>
          <w:rtl/>
        </w:rPr>
        <w:t>תו באונס</w:t>
      </w:r>
      <w:r w:rsidR="006B0D72" w:rsidRPr="006C4436">
        <w:rPr>
          <w:rFonts w:ascii="FrankRuehl" w:hAnsi="FrankRuehl" w:cs="FrankRuehl" w:hint="cs"/>
          <w:sz w:val="28"/>
          <w:szCs w:val="28"/>
          <w:rtl/>
        </w:rPr>
        <w:t xml:space="preserve"> לבין </w:t>
      </w:r>
      <w:r w:rsidR="006C4436">
        <w:rPr>
          <w:rFonts w:ascii="FrankRuehl" w:hAnsi="FrankRuehl" w:cs="FrankRuehl" w:hint="cs"/>
          <w:sz w:val="28"/>
          <w:szCs w:val="28"/>
          <w:rtl/>
        </w:rPr>
        <w:t xml:space="preserve">האיומים מצדדי ג', </w:t>
      </w:r>
      <w:r w:rsidR="00220F4F" w:rsidRPr="006C4436">
        <w:rPr>
          <w:rFonts w:ascii="FrankRuehl" w:hAnsi="FrankRuehl" w:cs="FrankRuehl" w:hint="cs"/>
          <w:sz w:val="28"/>
          <w:szCs w:val="28"/>
          <w:rtl/>
        </w:rPr>
        <w:t>והוא מגנה את הודעות האיומים שהופנו אל המבקשת על ידי צדד</w:t>
      </w:r>
      <w:r w:rsidR="006B0D72" w:rsidRPr="006C4436">
        <w:rPr>
          <w:rFonts w:ascii="FrankRuehl" w:hAnsi="FrankRuehl" w:cs="FrankRuehl" w:hint="cs"/>
          <w:sz w:val="28"/>
          <w:szCs w:val="28"/>
          <w:rtl/>
        </w:rPr>
        <w:t>י</w:t>
      </w:r>
      <w:r w:rsidR="00220F4F" w:rsidRPr="006C4436">
        <w:rPr>
          <w:rFonts w:ascii="FrankRuehl" w:hAnsi="FrankRuehl" w:cs="FrankRuehl" w:hint="cs"/>
          <w:sz w:val="28"/>
          <w:szCs w:val="28"/>
          <w:rtl/>
        </w:rPr>
        <w:t xml:space="preserve"> ג'. </w:t>
      </w:r>
      <w:r w:rsidR="00220F4F">
        <w:rPr>
          <w:rFonts w:ascii="FrankRuehl" w:hAnsi="FrankRuehl" w:cs="FrankRuehl" w:hint="cs"/>
          <w:sz w:val="28"/>
          <w:szCs w:val="28"/>
          <w:rtl/>
        </w:rPr>
        <w:t>המשיב טען כי בעבר ייתכן וביצע מעשים שנחשבים "הטרדה מאיימת" אך הוא שולל קיום מעשים אלו כיום ואין</w:t>
      </w:r>
      <w:r w:rsidR="006B0D72">
        <w:rPr>
          <w:rFonts w:ascii="FrankRuehl" w:hAnsi="FrankRuehl" w:cs="FrankRuehl" w:hint="cs"/>
          <w:sz w:val="28"/>
          <w:szCs w:val="28"/>
          <w:rtl/>
        </w:rPr>
        <w:t xml:space="preserve"> הצדקה כי </w:t>
      </w:r>
      <w:r w:rsidR="00220F4F">
        <w:rPr>
          <w:rFonts w:ascii="FrankRuehl" w:hAnsi="FrankRuehl" w:cs="FrankRuehl" w:hint="cs"/>
          <w:sz w:val="28"/>
          <w:szCs w:val="28"/>
          <w:rtl/>
        </w:rPr>
        <w:t>ה</w:t>
      </w:r>
      <w:r w:rsidR="006B0D72">
        <w:rPr>
          <w:rFonts w:ascii="FrankRuehl" w:hAnsi="FrankRuehl" w:cs="FrankRuehl" w:hint="cs"/>
          <w:sz w:val="28"/>
          <w:szCs w:val="28"/>
          <w:rtl/>
        </w:rPr>
        <w:t>מ</w:t>
      </w:r>
      <w:r w:rsidR="00220F4F">
        <w:rPr>
          <w:rFonts w:ascii="FrankRuehl" w:hAnsi="FrankRuehl" w:cs="FrankRuehl" w:hint="cs"/>
          <w:sz w:val="28"/>
          <w:szCs w:val="28"/>
          <w:rtl/>
        </w:rPr>
        <w:t>שיב ישוב ויטריד את המבקשת (סעיף 26 לכת</w:t>
      </w:r>
      <w:r w:rsidR="006B0D72">
        <w:rPr>
          <w:rFonts w:ascii="FrankRuehl" w:hAnsi="FrankRuehl" w:cs="FrankRuehl" w:hint="cs"/>
          <w:sz w:val="28"/>
          <w:szCs w:val="28"/>
          <w:rtl/>
        </w:rPr>
        <w:t>ב התשובה) ואין לו רצון אלא להתנ</w:t>
      </w:r>
      <w:r w:rsidR="00220F4F">
        <w:rPr>
          <w:rFonts w:ascii="FrankRuehl" w:hAnsi="FrankRuehl" w:cs="FrankRuehl" w:hint="cs"/>
          <w:sz w:val="28"/>
          <w:szCs w:val="28"/>
          <w:rtl/>
        </w:rPr>
        <w:t xml:space="preserve">תק מהמבקשת. נטען כי לא היה מקום להגיש התובענה לבית משפט זה </w:t>
      </w:r>
      <w:r w:rsidR="00220F4F">
        <w:rPr>
          <w:rFonts w:ascii="FrankRuehl" w:hAnsi="FrankRuehl" w:cs="FrankRuehl"/>
          <w:sz w:val="28"/>
          <w:szCs w:val="28"/>
          <w:rtl/>
        </w:rPr>
        <w:t>–</w:t>
      </w:r>
      <w:r w:rsidR="00220F4F">
        <w:rPr>
          <w:rFonts w:ascii="FrankRuehl" w:hAnsi="FrankRuehl" w:cs="FrankRuehl" w:hint="cs"/>
          <w:sz w:val="28"/>
          <w:szCs w:val="28"/>
          <w:rtl/>
        </w:rPr>
        <w:t xml:space="preserve"> אלא על מנת </w:t>
      </w:r>
      <w:r w:rsidR="00220F4F" w:rsidRPr="00690BE7">
        <w:rPr>
          <w:rFonts w:ascii="FrankRuehl" w:hAnsi="FrankRuehl" w:cs="FrankRuehl"/>
          <w:sz w:val="28"/>
          <w:szCs w:val="28"/>
          <w:rtl/>
        </w:rPr>
        <w:t>לאפשר דיון במעמד צ</w:t>
      </w:r>
      <w:r w:rsidR="006B0D72">
        <w:rPr>
          <w:rFonts w:ascii="FrankRuehl" w:hAnsi="FrankRuehl" w:cs="FrankRuehl"/>
          <w:sz w:val="28"/>
          <w:szCs w:val="28"/>
          <w:rtl/>
        </w:rPr>
        <w:t>ד אחד והיה על המבקשת לעתור בתוב</w:t>
      </w:r>
      <w:r w:rsidR="00220F4F" w:rsidRPr="00690BE7">
        <w:rPr>
          <w:rFonts w:ascii="FrankRuehl" w:hAnsi="FrankRuehl" w:cs="FrankRuehl"/>
          <w:sz w:val="28"/>
          <w:szCs w:val="28"/>
          <w:rtl/>
        </w:rPr>
        <w:t>ע</w:t>
      </w:r>
      <w:r w:rsidR="006B0D72">
        <w:rPr>
          <w:rFonts w:ascii="FrankRuehl" w:hAnsi="FrankRuehl" w:cs="FrankRuehl" w:hint="cs"/>
          <w:sz w:val="28"/>
          <w:szCs w:val="28"/>
          <w:rtl/>
        </w:rPr>
        <w:t>נ</w:t>
      </w:r>
      <w:r w:rsidR="00220F4F" w:rsidRPr="00690BE7">
        <w:rPr>
          <w:rFonts w:ascii="FrankRuehl" w:hAnsi="FrankRuehl" w:cs="FrankRuehl"/>
          <w:sz w:val="28"/>
          <w:szCs w:val="28"/>
          <w:rtl/>
        </w:rPr>
        <w:t>ה מתאימה לבית המשפט בו מנהל הליך תביעה מכוח חוק לשון הרע, בבית המשפט המחוזי בתל אביב. בשולי התגובה נטען כי בעת</w:t>
      </w:r>
      <w:r w:rsidR="006B0D72">
        <w:rPr>
          <w:rFonts w:ascii="FrankRuehl" w:hAnsi="FrankRuehl" w:cs="FrankRuehl" w:hint="cs"/>
          <w:sz w:val="28"/>
          <w:szCs w:val="28"/>
          <w:rtl/>
        </w:rPr>
        <w:t xml:space="preserve"> שעמד בתוקפו הצו ה</w:t>
      </w:r>
      <w:r w:rsidR="00D33AB2">
        <w:rPr>
          <w:rFonts w:ascii="FrankRuehl" w:hAnsi="FrankRuehl" w:cs="FrankRuehl" w:hint="cs"/>
          <w:sz w:val="28"/>
          <w:szCs w:val="28"/>
          <w:rtl/>
        </w:rPr>
        <w:t>ז</w:t>
      </w:r>
      <w:r w:rsidR="006B0D72">
        <w:rPr>
          <w:rFonts w:ascii="FrankRuehl" w:hAnsi="FrankRuehl" w:cs="FrankRuehl" w:hint="cs"/>
          <w:sz w:val="28"/>
          <w:szCs w:val="28"/>
          <w:rtl/>
        </w:rPr>
        <w:t>מ</w:t>
      </w:r>
      <w:r w:rsidR="00D33AB2">
        <w:rPr>
          <w:rFonts w:ascii="FrankRuehl" w:hAnsi="FrankRuehl" w:cs="FrankRuehl" w:hint="cs"/>
          <w:sz w:val="28"/>
          <w:szCs w:val="28"/>
          <w:rtl/>
        </w:rPr>
        <w:t xml:space="preserve">ני, המבקשת עצמה פרסמה למעלה מ-11 פרסומים שונים המגוללים את גרסתה, ואילו המשיב מנוע </w:t>
      </w:r>
      <w:r w:rsidR="006B0D72">
        <w:rPr>
          <w:rFonts w:ascii="FrankRuehl" w:hAnsi="FrankRuehl" w:cs="FrankRuehl" w:hint="cs"/>
          <w:sz w:val="28"/>
          <w:szCs w:val="28"/>
          <w:rtl/>
        </w:rPr>
        <w:t xml:space="preserve">היה, </w:t>
      </w:r>
      <w:r w:rsidR="00D33AB2">
        <w:rPr>
          <w:rFonts w:ascii="FrankRuehl" w:hAnsi="FrankRuehl" w:cs="FrankRuehl" w:hint="cs"/>
          <w:sz w:val="28"/>
          <w:szCs w:val="28"/>
          <w:rtl/>
        </w:rPr>
        <w:t xml:space="preserve">בשל הצו להגיב להם. </w:t>
      </w:r>
    </w:p>
    <w:p w:rsidR="00690BE7" w:rsidRPr="006C4436" w:rsidRDefault="00690BE7" w:rsidP="00690BE7">
      <w:pPr>
        <w:pStyle w:val="af"/>
        <w:spacing w:line="360" w:lineRule="auto"/>
        <w:ind w:left="360"/>
        <w:jc w:val="both"/>
        <w:rPr>
          <w:rFonts w:ascii="FrankRuehl" w:hAnsi="FrankRuehl" w:cs="FrankRuehl"/>
          <w:sz w:val="28"/>
          <w:szCs w:val="28"/>
        </w:rPr>
      </w:pPr>
    </w:p>
    <w:p w:rsidR="0085507D" w:rsidRPr="006C4436" w:rsidRDefault="0085507D" w:rsidP="006B0D72">
      <w:pPr>
        <w:pStyle w:val="af"/>
        <w:numPr>
          <w:ilvl w:val="0"/>
          <w:numId w:val="1"/>
        </w:numPr>
        <w:spacing w:line="360" w:lineRule="auto"/>
        <w:jc w:val="both"/>
        <w:rPr>
          <w:rFonts w:ascii="FrankRuehl" w:hAnsi="FrankRuehl" w:cs="FrankRuehl"/>
          <w:sz w:val="28"/>
          <w:szCs w:val="28"/>
        </w:rPr>
      </w:pPr>
      <w:r w:rsidRPr="006C4436">
        <w:rPr>
          <w:rFonts w:ascii="FrankRuehl" w:hAnsi="FrankRuehl" w:cs="FrankRuehl" w:hint="cs"/>
          <w:sz w:val="28"/>
          <w:szCs w:val="28"/>
          <w:rtl/>
        </w:rPr>
        <w:t xml:space="preserve">לאחר שהמשיב לא התייצב לדיון, נקבע מועד נדחה </w:t>
      </w:r>
      <w:r w:rsidR="006B0D72" w:rsidRPr="006C4436">
        <w:rPr>
          <w:rFonts w:ascii="FrankRuehl" w:hAnsi="FrankRuehl" w:cs="FrankRuehl" w:hint="cs"/>
          <w:sz w:val="28"/>
          <w:szCs w:val="28"/>
          <w:rtl/>
        </w:rPr>
        <w:t xml:space="preserve">ובמועד </w:t>
      </w:r>
      <w:r w:rsidRPr="006C4436">
        <w:rPr>
          <w:rFonts w:ascii="FrankRuehl" w:hAnsi="FrankRuehl" w:cs="FrankRuehl" w:hint="cs"/>
          <w:sz w:val="28"/>
          <w:szCs w:val="28"/>
          <w:rtl/>
        </w:rPr>
        <w:t>זה נחקרו שני הצדדים וכעת הגישו סיכומיהם.</w:t>
      </w:r>
    </w:p>
    <w:p w:rsidR="0085507D" w:rsidRPr="006C4436" w:rsidRDefault="0085507D" w:rsidP="0085507D">
      <w:pPr>
        <w:spacing w:line="360" w:lineRule="auto"/>
        <w:ind w:left="720" w:hanging="720"/>
        <w:jc w:val="both"/>
        <w:rPr>
          <w:rFonts w:ascii="FrankRuehl" w:hAnsi="FrankRuehl" w:cs="FrankRuehl"/>
          <w:sz w:val="28"/>
          <w:szCs w:val="28"/>
          <w:rtl/>
        </w:rPr>
      </w:pPr>
    </w:p>
    <w:p w:rsidR="0085507D" w:rsidRPr="006C4436" w:rsidRDefault="0085507D" w:rsidP="0085507D">
      <w:pPr>
        <w:spacing w:line="360" w:lineRule="auto"/>
        <w:ind w:left="720" w:hanging="720"/>
        <w:jc w:val="both"/>
        <w:rPr>
          <w:rFonts w:ascii="FrankRuehl" w:hAnsi="FrankRuehl" w:cs="FrankRuehl"/>
          <w:sz w:val="28"/>
          <w:szCs w:val="28"/>
          <w:rtl/>
        </w:rPr>
      </w:pPr>
      <w:r w:rsidRPr="006C4436">
        <w:rPr>
          <w:rFonts w:ascii="FrankRuehl" w:hAnsi="FrankRuehl" w:cs="FrankRuehl" w:hint="cs"/>
          <w:b/>
          <w:bCs/>
          <w:sz w:val="28"/>
          <w:szCs w:val="28"/>
          <w:u w:val="single"/>
          <w:rtl/>
        </w:rPr>
        <w:t>דיון והכרעה</w:t>
      </w:r>
      <w:r w:rsidRPr="006C4436">
        <w:rPr>
          <w:rFonts w:ascii="FrankRuehl" w:hAnsi="FrankRuehl" w:cs="FrankRuehl" w:hint="cs"/>
          <w:sz w:val="28"/>
          <w:szCs w:val="28"/>
          <w:rtl/>
        </w:rPr>
        <w:t>:</w:t>
      </w:r>
    </w:p>
    <w:p w:rsidR="0085507D" w:rsidRPr="006C4436" w:rsidRDefault="0085507D" w:rsidP="0085507D">
      <w:pPr>
        <w:pStyle w:val="af"/>
        <w:rPr>
          <w:rFonts w:ascii="FrankRuehl" w:hAnsi="FrankRuehl" w:cs="FrankRuehl"/>
          <w:sz w:val="28"/>
          <w:szCs w:val="28"/>
          <w:rtl/>
        </w:rPr>
      </w:pPr>
    </w:p>
    <w:p w:rsidR="00432BBF" w:rsidRDefault="003E1FED" w:rsidP="003E1FED">
      <w:pPr>
        <w:pStyle w:val="af"/>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סעיף 1 ל</w:t>
      </w:r>
      <w:r>
        <w:rPr>
          <w:rFonts w:ascii="FrankRuehl" w:hAnsi="FrankRuehl" w:cs="FrankRuehl"/>
          <w:sz w:val="28"/>
          <w:szCs w:val="28"/>
          <w:rtl/>
        </w:rPr>
        <w:t>חוק בית המשפט לענייני משפחה</w:t>
      </w:r>
      <w:r>
        <w:rPr>
          <w:rFonts w:ascii="FrankRuehl" w:hAnsi="FrankRuehl" w:cs="FrankRuehl" w:hint="cs"/>
          <w:sz w:val="28"/>
          <w:szCs w:val="28"/>
          <w:rtl/>
        </w:rPr>
        <w:t xml:space="preserve">, התשנ"ה-1995, </w:t>
      </w:r>
      <w:r w:rsidR="00432BBF" w:rsidRPr="006C4436">
        <w:rPr>
          <w:rFonts w:ascii="FrankRuehl" w:hAnsi="FrankRuehl" w:cs="FrankRuehl"/>
          <w:sz w:val="28"/>
          <w:szCs w:val="28"/>
          <w:rtl/>
        </w:rPr>
        <w:t>קובע שני תנא</w:t>
      </w:r>
      <w:r>
        <w:rPr>
          <w:rFonts w:ascii="FrankRuehl" w:hAnsi="FrankRuehl" w:cs="FrankRuehl" w:hint="cs"/>
          <w:sz w:val="28"/>
          <w:szCs w:val="28"/>
          <w:rtl/>
        </w:rPr>
        <w:t>י</w:t>
      </w:r>
      <w:r w:rsidR="00432BBF" w:rsidRPr="006C4436">
        <w:rPr>
          <w:rFonts w:ascii="FrankRuehl" w:hAnsi="FrankRuehl" w:cs="FrankRuehl"/>
          <w:sz w:val="28"/>
          <w:szCs w:val="28"/>
          <w:rtl/>
        </w:rPr>
        <w:t>ם לסמכותו של בית משפט זה</w:t>
      </w:r>
      <w:r>
        <w:rPr>
          <w:rFonts w:ascii="FrankRuehl" w:hAnsi="FrankRuehl" w:cs="FrankRuehl" w:hint="cs"/>
          <w:sz w:val="28"/>
          <w:szCs w:val="28"/>
          <w:rtl/>
        </w:rPr>
        <w:t>;</w:t>
      </w:r>
      <w:r w:rsidR="00432BBF" w:rsidRPr="006C4436">
        <w:rPr>
          <w:rFonts w:ascii="FrankRuehl" w:hAnsi="FrankRuehl" w:cs="FrankRuehl"/>
          <w:sz w:val="28"/>
          <w:szCs w:val="28"/>
          <w:rtl/>
        </w:rPr>
        <w:t xml:space="preserve"> היותם של הצדדים </w:t>
      </w:r>
      <w:r w:rsidR="00432BBF" w:rsidRPr="007631DC">
        <w:rPr>
          <w:rFonts w:ascii="FrankRuehl" w:hAnsi="FrankRuehl" w:cs="FrankRuehl"/>
          <w:sz w:val="28"/>
          <w:szCs w:val="28"/>
          <w:rtl/>
        </w:rPr>
        <w:t xml:space="preserve">בני משפחה </w:t>
      </w:r>
      <w:r w:rsidR="004722A1" w:rsidRPr="007631DC">
        <w:rPr>
          <w:rFonts w:ascii="FrankRuehl" w:hAnsi="FrankRuehl" w:cs="FrankRuehl" w:hint="cs"/>
          <w:sz w:val="28"/>
          <w:szCs w:val="28"/>
          <w:rtl/>
        </w:rPr>
        <w:t>ועילתה של התובענה, סכסוך בתוך המשפחה. במקרה של בן זוג לשעבר, מתווסף תנאי נוסף, נו</w:t>
      </w:r>
      <w:r w:rsidR="00432BBF" w:rsidRPr="007631DC">
        <w:rPr>
          <w:rFonts w:ascii="FrankRuehl" w:hAnsi="FrankRuehl" w:cs="FrankRuehl"/>
          <w:sz w:val="28"/>
          <w:szCs w:val="28"/>
          <w:rtl/>
        </w:rPr>
        <w:t>שא התובענה "</w:t>
      </w:r>
      <w:r w:rsidR="00432BBF" w:rsidRPr="007631DC">
        <w:rPr>
          <w:rFonts w:ascii="Miriam" w:hAnsi="Miriam" w:cs="Miriam"/>
          <w:rtl/>
        </w:rPr>
        <w:t>נובע מהקשר שהיה ביניהם בתקופה שבה היו בני זוג</w:t>
      </w:r>
      <w:r w:rsidR="00432BBF" w:rsidRPr="007631DC">
        <w:rPr>
          <w:rFonts w:ascii="Miriam" w:hAnsi="Miriam" w:cs="Miriam" w:hint="cs"/>
          <w:rtl/>
        </w:rPr>
        <w:t>"</w:t>
      </w:r>
      <w:r w:rsidR="00432BBF" w:rsidRPr="007631DC">
        <w:rPr>
          <w:rFonts w:ascii="Miriam" w:hAnsi="Miriam" w:cs="Miriam" w:hint="cs"/>
          <w:sz w:val="28"/>
          <w:szCs w:val="28"/>
          <w:rtl/>
        </w:rPr>
        <w:t xml:space="preserve">. </w:t>
      </w:r>
    </w:p>
    <w:p w:rsidR="00F2241D" w:rsidRDefault="00F2241D" w:rsidP="00F2241D">
      <w:pPr>
        <w:pStyle w:val="af"/>
        <w:numPr>
          <w:ilvl w:val="0"/>
          <w:numId w:val="1"/>
        </w:numPr>
        <w:spacing w:line="360" w:lineRule="auto"/>
        <w:jc w:val="both"/>
        <w:rPr>
          <w:rFonts w:ascii="FrankRuehl" w:hAnsi="FrankRuehl" w:cs="FrankRuehl"/>
          <w:sz w:val="28"/>
          <w:szCs w:val="28"/>
        </w:rPr>
      </w:pPr>
      <w:r w:rsidRPr="00F2241D">
        <w:rPr>
          <w:rFonts w:ascii="FrankRuehl" w:hAnsi="FrankRuehl" w:cs="FrankRuehl" w:hint="cs"/>
          <w:sz w:val="28"/>
          <w:szCs w:val="28"/>
          <w:rtl/>
        </w:rPr>
        <w:lastRenderedPageBreak/>
        <w:t xml:space="preserve">הצדדים ניהלו מערכת יחסים זוגית, אמנם היו בני זוג </w:t>
      </w:r>
      <w:r w:rsidRPr="00F2241D">
        <w:rPr>
          <w:rFonts w:ascii="FrankRuehl" w:hAnsi="FrankRuehl" w:cs="FrankRuehl"/>
          <w:sz w:val="28"/>
          <w:szCs w:val="28"/>
          <w:rtl/>
        </w:rPr>
        <w:t xml:space="preserve">אך הזוגיות </w:t>
      </w:r>
      <w:r w:rsidRPr="00F2241D">
        <w:rPr>
          <w:rFonts w:ascii="FrankRuehl" w:hAnsi="FrankRuehl" w:cs="FrankRuehl" w:hint="cs"/>
          <w:sz w:val="28"/>
          <w:szCs w:val="28"/>
          <w:rtl/>
        </w:rPr>
        <w:t>ביניהם</w:t>
      </w:r>
      <w:r w:rsidRPr="00F2241D">
        <w:rPr>
          <w:rFonts w:ascii="FrankRuehl" w:hAnsi="FrankRuehl" w:cs="FrankRuehl"/>
          <w:sz w:val="28"/>
          <w:szCs w:val="28"/>
          <w:rtl/>
        </w:rPr>
        <w:t xml:space="preserve"> הסתיימה לפני למעלה מעשור</w:t>
      </w:r>
      <w:r w:rsidRPr="00F2241D">
        <w:rPr>
          <w:rFonts w:ascii="FrankRuehl" w:hAnsi="FrankRuehl" w:cs="FrankRuehl" w:hint="cs"/>
          <w:sz w:val="28"/>
          <w:szCs w:val="28"/>
          <w:rtl/>
        </w:rPr>
        <w:t xml:space="preserve"> ורק בסיכומיה טענה המבקשת כי היו ידועים בציבור. </w:t>
      </w:r>
      <w:r w:rsidR="006C4436" w:rsidRPr="00F2241D">
        <w:rPr>
          <w:rFonts w:ascii="FrankRuehl" w:hAnsi="FrankRuehl" w:cs="FrankRuehl" w:hint="cs"/>
          <w:sz w:val="28"/>
          <w:szCs w:val="28"/>
          <w:rtl/>
        </w:rPr>
        <w:t>טענה זו הועלתה לראשונה בסיכומי המבקשת</w:t>
      </w:r>
      <w:r w:rsidRPr="00F2241D">
        <w:rPr>
          <w:rFonts w:ascii="FrankRuehl" w:hAnsi="FrankRuehl" w:cs="FrankRuehl" w:hint="cs"/>
          <w:sz w:val="28"/>
          <w:szCs w:val="28"/>
          <w:rtl/>
        </w:rPr>
        <w:t xml:space="preserve">, </w:t>
      </w:r>
      <w:r w:rsidR="006C4436" w:rsidRPr="00F2241D">
        <w:rPr>
          <w:rFonts w:ascii="FrankRuehl" w:hAnsi="FrankRuehl" w:cs="FrankRuehl" w:hint="cs"/>
          <w:sz w:val="28"/>
          <w:szCs w:val="28"/>
          <w:rtl/>
        </w:rPr>
        <w:t>רק על מנת להכפיף התובענה לסמכות בית משפט זה</w:t>
      </w:r>
      <w:r w:rsidRPr="00F2241D">
        <w:rPr>
          <w:rFonts w:ascii="FrankRuehl" w:hAnsi="FrankRuehl" w:cs="FrankRuehl" w:hint="cs"/>
          <w:sz w:val="28"/>
          <w:szCs w:val="28"/>
          <w:rtl/>
        </w:rPr>
        <w:t xml:space="preserve"> ו</w:t>
      </w:r>
      <w:r w:rsidR="00371AC8" w:rsidRPr="00F2241D">
        <w:rPr>
          <w:rFonts w:ascii="FrankRuehl" w:hAnsi="FrankRuehl" w:cs="FrankRuehl" w:hint="cs"/>
          <w:sz w:val="28"/>
          <w:szCs w:val="28"/>
          <w:rtl/>
        </w:rPr>
        <w:t xml:space="preserve">למשיב לא ניתנה </w:t>
      </w:r>
      <w:r>
        <w:rPr>
          <w:rFonts w:ascii="FrankRuehl" w:hAnsi="FrankRuehl" w:cs="FrankRuehl" w:hint="cs"/>
          <w:sz w:val="28"/>
          <w:szCs w:val="28"/>
          <w:rtl/>
        </w:rPr>
        <w:t xml:space="preserve">ההזדמנות להתגונן מפני טענה זו. </w:t>
      </w:r>
      <w:r w:rsidR="00371AC8" w:rsidRPr="00F2241D">
        <w:rPr>
          <w:rFonts w:ascii="FrankRuehl" w:hAnsi="FrankRuehl" w:cs="FrankRuehl" w:hint="cs"/>
          <w:sz w:val="28"/>
          <w:szCs w:val="28"/>
          <w:rtl/>
        </w:rPr>
        <w:t xml:space="preserve">בסיכומיו כפר המשיב בטענה. </w:t>
      </w:r>
    </w:p>
    <w:p w:rsidR="00F2241D" w:rsidRDefault="00F2241D" w:rsidP="00F2241D">
      <w:pPr>
        <w:pStyle w:val="af"/>
        <w:spacing w:line="360" w:lineRule="auto"/>
        <w:ind w:left="360"/>
        <w:jc w:val="both"/>
        <w:rPr>
          <w:rFonts w:ascii="FrankRuehl" w:hAnsi="FrankRuehl" w:cs="FrankRuehl"/>
          <w:sz w:val="28"/>
          <w:szCs w:val="28"/>
        </w:rPr>
      </w:pPr>
    </w:p>
    <w:p w:rsidR="00672664" w:rsidRPr="00F2241D" w:rsidRDefault="006C4436" w:rsidP="00F2241D">
      <w:pPr>
        <w:pStyle w:val="af"/>
        <w:numPr>
          <w:ilvl w:val="0"/>
          <w:numId w:val="1"/>
        </w:numPr>
        <w:spacing w:line="360" w:lineRule="auto"/>
        <w:jc w:val="both"/>
        <w:rPr>
          <w:rFonts w:ascii="FrankRuehl" w:hAnsi="FrankRuehl" w:cs="FrankRuehl"/>
          <w:sz w:val="28"/>
          <w:szCs w:val="28"/>
        </w:rPr>
      </w:pPr>
      <w:r w:rsidRPr="00F2241D">
        <w:rPr>
          <w:rFonts w:ascii="FrankRuehl" w:hAnsi="FrankRuehl" w:cs="FrankRuehl" w:hint="cs"/>
          <w:sz w:val="28"/>
          <w:szCs w:val="28"/>
          <w:rtl/>
        </w:rPr>
        <w:t xml:space="preserve">בהעדר העובדות הנדרשות </w:t>
      </w:r>
      <w:r w:rsidR="00EB25B3" w:rsidRPr="00F2241D">
        <w:rPr>
          <w:rFonts w:ascii="FrankRuehl" w:hAnsi="FrankRuehl" w:cs="FrankRuehl" w:hint="cs"/>
          <w:sz w:val="28"/>
          <w:szCs w:val="28"/>
          <w:rtl/>
        </w:rPr>
        <w:t xml:space="preserve">להוכחת </w:t>
      </w:r>
      <w:r w:rsidRPr="00F2241D">
        <w:rPr>
          <w:rFonts w:ascii="FrankRuehl" w:hAnsi="FrankRuehl" w:cs="FrankRuehl" w:hint="cs"/>
          <w:sz w:val="28"/>
          <w:szCs w:val="28"/>
          <w:rtl/>
        </w:rPr>
        <w:t xml:space="preserve">הטענה, הרי שלא הונחה בפני תשתית לקבוע כי הצדדים הם </w:t>
      </w:r>
      <w:r w:rsidR="00F2241D">
        <w:rPr>
          <w:rFonts w:ascii="FrankRuehl" w:hAnsi="FrankRuehl" w:cs="FrankRuehl" w:hint="cs"/>
          <w:sz w:val="28"/>
          <w:szCs w:val="28"/>
          <w:rtl/>
        </w:rPr>
        <w:t>"</w:t>
      </w:r>
      <w:r w:rsidRPr="00F2241D">
        <w:rPr>
          <w:rFonts w:ascii="FrankRuehl" w:hAnsi="FrankRuehl" w:cs="FrankRuehl" w:hint="cs"/>
          <w:sz w:val="28"/>
          <w:szCs w:val="28"/>
          <w:rtl/>
        </w:rPr>
        <w:t>בני משפחה</w:t>
      </w:r>
      <w:r w:rsidR="00F2241D">
        <w:rPr>
          <w:rFonts w:ascii="FrankRuehl" w:hAnsi="FrankRuehl" w:cs="FrankRuehl" w:hint="cs"/>
          <w:sz w:val="28"/>
          <w:szCs w:val="28"/>
          <w:rtl/>
        </w:rPr>
        <w:t xml:space="preserve">" כמשמעות המונח בחוק בתי המשפט לענייני משפחה, התשנ"ה-1995. </w:t>
      </w:r>
      <w:r w:rsidR="00F2241D" w:rsidRPr="00F2241D">
        <w:rPr>
          <w:rFonts w:ascii="FrankRuehl" w:hAnsi="FrankRuehl" w:cs="FrankRuehl" w:hint="cs"/>
          <w:b/>
          <w:bCs/>
          <w:sz w:val="28"/>
          <w:szCs w:val="28"/>
          <w:rtl/>
        </w:rPr>
        <w:t xml:space="preserve">על כן, </w:t>
      </w:r>
      <w:r w:rsidR="007631DC" w:rsidRPr="00F2241D">
        <w:rPr>
          <w:rFonts w:ascii="FrankRuehl" w:hAnsi="FrankRuehl" w:cs="FrankRuehl" w:hint="cs"/>
          <w:b/>
          <w:bCs/>
          <w:sz w:val="28"/>
          <w:szCs w:val="28"/>
          <w:rtl/>
        </w:rPr>
        <w:t>הסכמות לדון בתובענה היא לבית המשפט השלום</w:t>
      </w:r>
      <w:r w:rsidR="007631DC" w:rsidRPr="00F2241D">
        <w:rPr>
          <w:rFonts w:ascii="FrankRuehl" w:hAnsi="FrankRuehl" w:cs="FrankRuehl" w:hint="cs"/>
          <w:sz w:val="28"/>
          <w:szCs w:val="28"/>
          <w:rtl/>
        </w:rPr>
        <w:t>.</w:t>
      </w:r>
      <w:r w:rsidRPr="00F2241D">
        <w:rPr>
          <w:rFonts w:ascii="FrankRuehl" w:hAnsi="FrankRuehl" w:cs="FrankRuehl" w:hint="cs"/>
          <w:sz w:val="28"/>
          <w:szCs w:val="28"/>
          <w:rtl/>
        </w:rPr>
        <w:t xml:space="preserve"> </w:t>
      </w:r>
    </w:p>
    <w:p w:rsidR="00672664" w:rsidRPr="00F2241D" w:rsidRDefault="00672664" w:rsidP="00672664">
      <w:pPr>
        <w:pStyle w:val="af"/>
        <w:rPr>
          <w:rFonts w:ascii="FrankRuehl" w:hAnsi="FrankRuehl" w:cs="FrankRuehl"/>
          <w:sz w:val="28"/>
          <w:szCs w:val="28"/>
          <w:rtl/>
        </w:rPr>
      </w:pPr>
    </w:p>
    <w:p w:rsidR="007631DC" w:rsidRPr="007631DC" w:rsidRDefault="00F2241D" w:rsidP="007631DC">
      <w:pPr>
        <w:pStyle w:val="af"/>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למעלה מן הדרוש </w:t>
      </w:r>
      <w:r w:rsidR="007631DC" w:rsidRPr="00F2241D">
        <w:rPr>
          <w:rFonts w:ascii="FrankRuehl" w:hAnsi="FrankRuehl" w:cs="FrankRuehl" w:hint="cs"/>
          <w:sz w:val="28"/>
          <w:szCs w:val="28"/>
          <w:rtl/>
        </w:rPr>
        <w:t>אוסיף</w:t>
      </w:r>
      <w:r w:rsidR="007631DC">
        <w:rPr>
          <w:rFonts w:ascii="FrankRuehl" w:hAnsi="FrankRuehl" w:cs="FrankRuehl" w:hint="cs"/>
          <w:sz w:val="28"/>
          <w:szCs w:val="28"/>
          <w:rtl/>
        </w:rPr>
        <w:t xml:space="preserve"> כי ג</w:t>
      </w:r>
      <w:r w:rsidR="007631DC" w:rsidRPr="007631DC">
        <w:rPr>
          <w:rFonts w:ascii="FrankRuehl" w:hAnsi="FrankRuehl" w:cs="FrankRuehl" w:hint="cs"/>
          <w:sz w:val="28"/>
          <w:szCs w:val="28"/>
          <w:rtl/>
        </w:rPr>
        <w:t xml:space="preserve">ם התנאי הנוסף </w:t>
      </w:r>
      <w:r>
        <w:rPr>
          <w:rFonts w:ascii="FrankRuehl" w:hAnsi="FrankRuehl" w:cs="FrankRuehl" w:hint="cs"/>
          <w:sz w:val="28"/>
          <w:szCs w:val="28"/>
          <w:rtl/>
        </w:rPr>
        <w:t xml:space="preserve">לסמכות בית משפט זה </w:t>
      </w:r>
      <w:r w:rsidR="007631DC" w:rsidRPr="007631DC">
        <w:rPr>
          <w:rFonts w:ascii="FrankRuehl" w:hAnsi="FrankRuehl" w:cs="FrankRuehl" w:hint="cs"/>
          <w:sz w:val="28"/>
          <w:szCs w:val="28"/>
          <w:rtl/>
        </w:rPr>
        <w:t xml:space="preserve">אינו מתקיים. </w:t>
      </w:r>
      <w:r w:rsidR="00672664" w:rsidRPr="007631DC">
        <w:rPr>
          <w:rFonts w:ascii="FrankRuehl" w:hAnsi="FrankRuehl" w:cs="FrankRuehl" w:hint="cs"/>
          <w:sz w:val="28"/>
          <w:szCs w:val="28"/>
          <w:rtl/>
        </w:rPr>
        <w:t xml:space="preserve">הצדדים פרודים זה מזה למעלה מעשור, לא </w:t>
      </w:r>
      <w:r>
        <w:rPr>
          <w:rFonts w:ascii="FrankRuehl" w:hAnsi="FrankRuehl" w:cs="FrankRuehl" w:hint="cs"/>
          <w:sz w:val="28"/>
          <w:szCs w:val="28"/>
          <w:rtl/>
        </w:rPr>
        <w:t xml:space="preserve">רק שלא </w:t>
      </w:r>
      <w:r w:rsidR="00672664" w:rsidRPr="007631DC">
        <w:rPr>
          <w:rFonts w:ascii="FrankRuehl" w:hAnsi="FrankRuehl" w:cs="FrankRuehl" w:hint="cs"/>
          <w:sz w:val="28"/>
          <w:szCs w:val="28"/>
          <w:rtl/>
        </w:rPr>
        <w:t xml:space="preserve">נטען בתובענה כי הצדדים היו ידועים בציבור, </w:t>
      </w:r>
      <w:r w:rsidR="00672664" w:rsidRPr="007631DC">
        <w:rPr>
          <w:rFonts w:ascii="Century" w:hAnsi="Century" w:cs="FrankRuehl" w:hint="cs"/>
          <w:spacing w:val="10"/>
          <w:sz w:val="22"/>
          <w:szCs w:val="28"/>
          <w:rtl/>
        </w:rPr>
        <w:t xml:space="preserve">העובדות שברקע הסכסוך, אינן נוגעות ל"קשר הזוגי". הסכסוך בין הצדדים נוגע להאשמות שהעלה המשיב כלפי המבקשת, בעניין קשירתה לפרשת רצח תאיר ראדה ז"ל. אין מדובר בסכסוך שנובע מהקשר הזוגי ושני הצדדים טוענים למעשה כי הם מפרסמים זה על זה </w:t>
      </w:r>
      <w:r w:rsidR="00672664" w:rsidRPr="007631DC">
        <w:rPr>
          <w:rFonts w:ascii="Century" w:hAnsi="Century" w:cs="FrankRuehl"/>
          <w:spacing w:val="10"/>
          <w:sz w:val="22"/>
          <w:szCs w:val="28"/>
          <w:rtl/>
        </w:rPr>
        <w:t>–</w:t>
      </w:r>
      <w:r w:rsidR="00672664" w:rsidRPr="007631DC">
        <w:rPr>
          <w:rFonts w:ascii="Century" w:hAnsi="Century" w:cs="FrankRuehl" w:hint="cs"/>
          <w:spacing w:val="10"/>
          <w:sz w:val="22"/>
          <w:szCs w:val="28"/>
          <w:rtl/>
        </w:rPr>
        <w:t xml:space="preserve"> כהתגוננות מפני האשמות הצד שכנגד.</w:t>
      </w:r>
      <w:r w:rsidR="00672664" w:rsidRPr="007631DC">
        <w:rPr>
          <w:rFonts w:ascii="FrankRuehl" w:hAnsi="FrankRuehl" w:cs="FrankRuehl" w:hint="cs"/>
          <w:sz w:val="28"/>
          <w:szCs w:val="28"/>
          <w:rtl/>
        </w:rPr>
        <w:t xml:space="preserve">  לכן, במשקפיים מהותיים הסכסוך אינו </w:t>
      </w:r>
      <w:r w:rsidR="00672664" w:rsidRPr="007631DC">
        <w:rPr>
          <w:rFonts w:ascii="FrankRuehl" w:hAnsi="FrankRuehl" w:cs="FrankRuehl"/>
          <w:sz w:val="28"/>
          <w:szCs w:val="28"/>
          <w:rtl/>
        </w:rPr>
        <w:t>"</w:t>
      </w:r>
      <w:r w:rsidR="00672664" w:rsidRPr="007631DC">
        <w:rPr>
          <w:rFonts w:ascii="Miriam" w:hAnsi="Miriam" w:cs="Miriam"/>
          <w:rtl/>
        </w:rPr>
        <w:t>נובע מהקשר שהיה ביניהם בתקופה שבה היו בני זוג</w:t>
      </w:r>
      <w:r w:rsidR="00672664" w:rsidRPr="007631DC">
        <w:rPr>
          <w:rFonts w:ascii="Miriam" w:hAnsi="Miriam" w:cs="Miriam" w:hint="cs"/>
          <w:rtl/>
        </w:rPr>
        <w:t>"</w:t>
      </w:r>
      <w:r w:rsidR="00672664" w:rsidRPr="007631DC">
        <w:rPr>
          <w:rFonts w:ascii="Miriam" w:hAnsi="Miriam" w:cs="Miriam" w:hint="cs"/>
          <w:sz w:val="28"/>
          <w:szCs w:val="28"/>
          <w:rtl/>
        </w:rPr>
        <w:t xml:space="preserve"> </w:t>
      </w:r>
      <w:r w:rsidR="00672664" w:rsidRPr="007631DC">
        <w:rPr>
          <w:rFonts w:ascii="Century" w:hAnsi="Century" w:cs="FrankRuehl" w:hint="cs"/>
          <w:spacing w:val="10"/>
          <w:sz w:val="22"/>
          <w:szCs w:val="28"/>
          <w:rtl/>
        </w:rPr>
        <w:t>(סעיף</w:t>
      </w:r>
      <w:r w:rsidR="00672664" w:rsidRPr="007631DC">
        <w:rPr>
          <w:rFonts w:ascii="FrankRuehl" w:hAnsi="FrankRuehl" w:cs="FrankRuehl" w:hint="cs"/>
          <w:sz w:val="28"/>
          <w:szCs w:val="28"/>
          <w:rtl/>
        </w:rPr>
        <w:t xml:space="preserve"> 1(א) לחוק בית המשפט לענייני משפחה, התשנ"ה-1995) ולא ניתן לומר </w:t>
      </w:r>
      <w:r w:rsidR="00672664" w:rsidRPr="007631DC">
        <w:rPr>
          <w:rFonts w:ascii="Miriam" w:hAnsi="Miriam" w:cs="Miriam"/>
          <w:spacing w:val="10"/>
          <w:rtl/>
        </w:rPr>
        <w:t>"שהסכסוך המשפחתי תרם תרומה נכבדה וחשובה להיווצרותה של עילת התביעה"</w:t>
      </w:r>
      <w:r w:rsidR="00672664" w:rsidRPr="007631DC">
        <w:rPr>
          <w:rFonts w:ascii="Century" w:hAnsi="Century" w:cs="FrankRuehl" w:hint="cs"/>
          <w:spacing w:val="10"/>
          <w:sz w:val="22"/>
          <w:szCs w:val="28"/>
          <w:rtl/>
        </w:rPr>
        <w:t xml:space="preserve"> (רע"א 6558/99 </w:t>
      </w:r>
      <w:r w:rsidR="00672664" w:rsidRPr="007631DC">
        <w:rPr>
          <w:rFonts w:ascii="Century" w:hAnsi="Century" w:cs="FrankRuehl" w:hint="eastAsia"/>
          <w:b/>
          <w:bCs/>
          <w:spacing w:val="10"/>
          <w:sz w:val="22"/>
          <w:szCs w:val="28"/>
          <w:rtl/>
        </w:rPr>
        <w:t>חבס</w:t>
      </w:r>
      <w:r w:rsidR="00672664" w:rsidRPr="007631DC">
        <w:rPr>
          <w:rFonts w:ascii="Century" w:hAnsi="Century" w:cs="FrankRuehl"/>
          <w:b/>
          <w:bCs/>
          <w:spacing w:val="10"/>
          <w:sz w:val="22"/>
          <w:szCs w:val="28"/>
          <w:rtl/>
        </w:rPr>
        <w:t xml:space="preserve"> </w:t>
      </w:r>
      <w:r w:rsidR="00672664" w:rsidRPr="007631DC">
        <w:rPr>
          <w:rFonts w:ascii="Century" w:hAnsi="Century" w:cs="FrankRuehl" w:hint="eastAsia"/>
          <w:b/>
          <w:bCs/>
          <w:spacing w:val="10"/>
          <w:sz w:val="22"/>
          <w:szCs w:val="28"/>
          <w:rtl/>
        </w:rPr>
        <w:t>נ</w:t>
      </w:r>
      <w:r w:rsidR="00672664" w:rsidRPr="007631DC">
        <w:rPr>
          <w:rFonts w:ascii="Century" w:hAnsi="Century" w:cs="FrankRuehl"/>
          <w:b/>
          <w:bCs/>
          <w:spacing w:val="10"/>
          <w:sz w:val="22"/>
          <w:szCs w:val="28"/>
          <w:rtl/>
        </w:rPr>
        <w:t xml:space="preserve">' </w:t>
      </w:r>
      <w:r w:rsidR="00672664" w:rsidRPr="007631DC">
        <w:rPr>
          <w:rFonts w:ascii="Century" w:hAnsi="Century" w:cs="FrankRuehl" w:hint="eastAsia"/>
          <w:b/>
          <w:bCs/>
          <w:spacing w:val="10"/>
          <w:sz w:val="22"/>
          <w:szCs w:val="28"/>
          <w:rtl/>
        </w:rPr>
        <w:t>חבס</w:t>
      </w:r>
      <w:r w:rsidR="00672664" w:rsidRPr="007631DC">
        <w:rPr>
          <w:rFonts w:ascii="Century" w:hAnsi="Century" w:cs="FrankRuehl"/>
          <w:b/>
          <w:bCs/>
          <w:spacing w:val="10"/>
          <w:sz w:val="22"/>
          <w:szCs w:val="28"/>
          <w:rtl/>
        </w:rPr>
        <w:t xml:space="preserve">, </w:t>
      </w:r>
      <w:r w:rsidR="00672664" w:rsidRPr="007631DC">
        <w:rPr>
          <w:rFonts w:ascii="Century" w:hAnsi="Century" w:cs="FrankRuehl" w:hint="eastAsia"/>
          <w:spacing w:val="10"/>
          <w:sz w:val="22"/>
          <w:szCs w:val="28"/>
          <w:rtl/>
        </w:rPr>
        <w:t>פ</w:t>
      </w:r>
      <w:r w:rsidR="00672664" w:rsidRPr="007631DC">
        <w:rPr>
          <w:rFonts w:ascii="Century" w:hAnsi="Century" w:cs="FrankRuehl"/>
          <w:spacing w:val="10"/>
          <w:sz w:val="22"/>
          <w:szCs w:val="28"/>
          <w:rtl/>
        </w:rPr>
        <w:t>"</w:t>
      </w:r>
      <w:r w:rsidR="00672664" w:rsidRPr="007631DC">
        <w:rPr>
          <w:rFonts w:ascii="Century" w:hAnsi="Century" w:cs="FrankRuehl" w:hint="eastAsia"/>
          <w:spacing w:val="10"/>
          <w:sz w:val="22"/>
          <w:szCs w:val="28"/>
          <w:rtl/>
        </w:rPr>
        <w:t>ד</w:t>
      </w:r>
      <w:r w:rsidR="00672664" w:rsidRPr="007631DC">
        <w:rPr>
          <w:rFonts w:ascii="Century" w:hAnsi="Century" w:cs="FrankRuehl"/>
          <w:spacing w:val="10"/>
          <w:sz w:val="22"/>
          <w:szCs w:val="28"/>
          <w:rtl/>
        </w:rPr>
        <w:t xml:space="preserve"> </w:t>
      </w:r>
      <w:r w:rsidR="00672664" w:rsidRPr="007631DC">
        <w:rPr>
          <w:rFonts w:ascii="Century" w:hAnsi="Century" w:cs="FrankRuehl" w:hint="eastAsia"/>
          <w:spacing w:val="10"/>
          <w:sz w:val="22"/>
          <w:szCs w:val="28"/>
          <w:rtl/>
        </w:rPr>
        <w:t>נד</w:t>
      </w:r>
      <w:r w:rsidR="00672664" w:rsidRPr="007631DC">
        <w:rPr>
          <w:rFonts w:ascii="Century" w:hAnsi="Century" w:cs="FrankRuehl" w:hint="cs"/>
          <w:spacing w:val="10"/>
          <w:sz w:val="22"/>
          <w:szCs w:val="28"/>
          <w:rtl/>
        </w:rPr>
        <w:t xml:space="preserve">(4) 337, 344) וגם לא מתקיים התנאי כי </w:t>
      </w:r>
      <w:r w:rsidR="00672664" w:rsidRPr="007631DC">
        <w:rPr>
          <w:rFonts w:ascii="Miriam" w:hAnsi="Miriam" w:cs="Miriam"/>
          <w:rtl/>
        </w:rPr>
        <w:t>"</w:t>
      </w:r>
      <w:r w:rsidR="00672664" w:rsidRPr="007631DC">
        <w:rPr>
          <w:rFonts w:ascii="Miriam" w:hAnsi="Miriam" w:cs="Miriam"/>
          <w:spacing w:val="10"/>
          <w:rtl/>
        </w:rPr>
        <w:t>עילת התביעה כרוכה באופן משמעותי ביחסים המשפחתיים שבין הצדדים"</w:t>
      </w:r>
      <w:r w:rsidR="00672664" w:rsidRPr="007631DC">
        <w:rPr>
          <w:rFonts w:ascii="Garamond" w:hAnsi="Garamond" w:cs="FrankRuehl" w:hint="cs"/>
          <w:spacing w:val="10"/>
          <w:szCs w:val="28"/>
          <w:rtl/>
        </w:rPr>
        <w:t xml:space="preserve">. (דנ"א 1292/20 </w:t>
      </w:r>
      <w:r w:rsidR="00672664" w:rsidRPr="007631DC">
        <w:rPr>
          <w:rFonts w:ascii="Garamond" w:hAnsi="Garamond" w:cs="FrankRuehl" w:hint="cs"/>
          <w:b/>
          <w:bCs/>
          <w:spacing w:val="10"/>
          <w:szCs w:val="28"/>
          <w:rtl/>
        </w:rPr>
        <w:t>פלונית נ' פלוני</w:t>
      </w:r>
      <w:r w:rsidR="00672664" w:rsidRPr="007631DC">
        <w:rPr>
          <w:rFonts w:ascii="Garamond" w:hAnsi="Garamond" w:cs="FrankRuehl" w:hint="cs"/>
          <w:spacing w:val="10"/>
          <w:szCs w:val="28"/>
          <w:rtl/>
        </w:rPr>
        <w:t xml:space="preserve">, סעיף 7 לפסה"ד מיום </w:t>
      </w:r>
      <w:r w:rsidR="00672664" w:rsidRPr="007631DC">
        <w:rPr>
          <w:rFonts w:ascii="FrankRuehl" w:hAnsi="FrankRuehl" w:cs="FrankRuehl" w:hint="cs"/>
          <w:sz w:val="28"/>
          <w:szCs w:val="28"/>
          <w:rtl/>
        </w:rPr>
        <w:t>19.7.2020; רע"א 8368/18 פלונית נ' פלוני, מיום 11.2.202) .</w:t>
      </w:r>
      <w:r w:rsidR="007631DC" w:rsidRPr="007631DC">
        <w:rPr>
          <w:rFonts w:ascii="FrankRuehl" w:hAnsi="FrankRuehl" w:cs="FrankRuehl" w:hint="cs"/>
          <w:sz w:val="28"/>
          <w:szCs w:val="28"/>
          <w:rtl/>
        </w:rPr>
        <w:t xml:space="preserve"> כך או כך סוגיה זו אינה נוגעת לדיון לפי חוק מניעת הטרדה מאיימת התשס"ב-2001 או חוק למניעת אלימות במשפחה התשנ"א-1991 שכן לשם תחולתם די בזהות הצדדים, כבני משפחה, אם לאו. </w:t>
      </w:r>
    </w:p>
    <w:p w:rsidR="007631DC" w:rsidRPr="007631DC" w:rsidRDefault="007631DC" w:rsidP="007631DC">
      <w:pPr>
        <w:pStyle w:val="af"/>
        <w:spacing w:line="360" w:lineRule="auto"/>
        <w:ind w:left="360"/>
        <w:jc w:val="both"/>
        <w:rPr>
          <w:rFonts w:ascii="FrankRuehl" w:hAnsi="FrankRuehl" w:cs="FrankRuehl"/>
          <w:sz w:val="28"/>
          <w:szCs w:val="28"/>
        </w:rPr>
      </w:pPr>
    </w:p>
    <w:p w:rsidR="007631DC" w:rsidRPr="007631DC" w:rsidRDefault="007631DC" w:rsidP="005A5868">
      <w:pPr>
        <w:pStyle w:val="af"/>
        <w:numPr>
          <w:ilvl w:val="0"/>
          <w:numId w:val="1"/>
        </w:numPr>
        <w:spacing w:line="360" w:lineRule="auto"/>
        <w:jc w:val="both"/>
        <w:rPr>
          <w:rFonts w:ascii="FrankRuehl" w:hAnsi="FrankRuehl" w:cs="FrankRuehl"/>
          <w:sz w:val="28"/>
          <w:szCs w:val="28"/>
        </w:rPr>
      </w:pPr>
      <w:r w:rsidRPr="007631DC">
        <w:rPr>
          <w:rFonts w:ascii="FrankRuehl" w:hAnsi="FrankRuehl" w:cs="FrankRuehl" w:hint="cs"/>
          <w:sz w:val="28"/>
          <w:szCs w:val="28"/>
          <w:rtl/>
        </w:rPr>
        <w:t xml:space="preserve">עם זאת, משההליך והראיות הובאו בפני, ובהיות בית משפט לענייני משפחה, בית משפט שלום היושב כבית משפט לענייני משפחה, </w:t>
      </w:r>
      <w:r w:rsidRPr="007631DC">
        <w:rPr>
          <w:rFonts w:ascii="FrankRuehl" w:hAnsi="FrankRuehl" w:cs="FrankRuehl" w:hint="cs"/>
          <w:b/>
          <w:bCs/>
          <w:sz w:val="28"/>
          <w:szCs w:val="28"/>
          <w:rtl/>
        </w:rPr>
        <w:t xml:space="preserve">החלטתי זו </w:t>
      </w:r>
      <w:r w:rsidR="005A5868">
        <w:rPr>
          <w:rFonts w:ascii="FrankRuehl" w:hAnsi="FrankRuehl" w:cs="FrankRuehl" w:hint="cs"/>
          <w:b/>
          <w:bCs/>
          <w:sz w:val="28"/>
          <w:szCs w:val="28"/>
          <w:rtl/>
        </w:rPr>
        <w:t xml:space="preserve">תינתן </w:t>
      </w:r>
      <w:r w:rsidRPr="007631DC">
        <w:rPr>
          <w:rFonts w:ascii="FrankRuehl" w:hAnsi="FrankRuehl" w:cs="FrankRuehl" w:hint="cs"/>
          <w:b/>
          <w:bCs/>
          <w:sz w:val="28"/>
          <w:szCs w:val="28"/>
          <w:rtl/>
        </w:rPr>
        <w:t>כסמכותי כבית משפט שלום</w:t>
      </w:r>
      <w:r w:rsidRPr="007631DC">
        <w:rPr>
          <w:rFonts w:ascii="FrankRuehl" w:hAnsi="FrankRuehl" w:cs="FrankRuehl" w:hint="cs"/>
          <w:sz w:val="28"/>
          <w:szCs w:val="28"/>
          <w:rtl/>
        </w:rPr>
        <w:t xml:space="preserve">. </w:t>
      </w:r>
    </w:p>
    <w:p w:rsidR="006C4436" w:rsidRPr="007631DC" w:rsidRDefault="006C4436" w:rsidP="006C4436">
      <w:pPr>
        <w:pStyle w:val="af"/>
        <w:rPr>
          <w:rFonts w:ascii="FrankRuehl" w:hAnsi="FrankRuehl" w:cs="FrankRuehl"/>
          <w:sz w:val="28"/>
          <w:szCs w:val="28"/>
          <w:rtl/>
        </w:rPr>
      </w:pPr>
    </w:p>
    <w:p w:rsidR="008309C6" w:rsidRPr="007631DC" w:rsidRDefault="00CF7CDC" w:rsidP="005A5868">
      <w:pPr>
        <w:pStyle w:val="af"/>
        <w:numPr>
          <w:ilvl w:val="0"/>
          <w:numId w:val="1"/>
        </w:numPr>
        <w:spacing w:line="360" w:lineRule="auto"/>
        <w:jc w:val="both"/>
        <w:rPr>
          <w:rFonts w:ascii="FrankRuehl" w:hAnsi="FrankRuehl" w:cs="FrankRuehl"/>
          <w:sz w:val="28"/>
          <w:szCs w:val="28"/>
        </w:rPr>
      </w:pPr>
      <w:r w:rsidRPr="007631DC">
        <w:rPr>
          <w:rFonts w:ascii="FrankRuehl" w:hAnsi="FrankRuehl" w:cs="FrankRuehl"/>
          <w:sz w:val="28"/>
          <w:szCs w:val="28"/>
          <w:u w:val="single"/>
          <w:rtl/>
        </w:rPr>
        <w:t>שאלה אחרת</w:t>
      </w:r>
      <w:r w:rsidRPr="007631DC">
        <w:rPr>
          <w:rFonts w:ascii="FrankRuehl" w:hAnsi="FrankRuehl" w:cs="FrankRuehl"/>
          <w:sz w:val="28"/>
          <w:szCs w:val="28"/>
          <w:rtl/>
        </w:rPr>
        <w:t xml:space="preserve"> </w:t>
      </w:r>
      <w:r w:rsidR="005A5868">
        <w:rPr>
          <w:rFonts w:ascii="FrankRuehl" w:hAnsi="FrankRuehl" w:cs="FrankRuehl" w:hint="cs"/>
          <w:sz w:val="28"/>
          <w:szCs w:val="28"/>
          <w:rtl/>
        </w:rPr>
        <w:t xml:space="preserve"> </w:t>
      </w:r>
      <w:r w:rsidRPr="007631DC">
        <w:rPr>
          <w:rFonts w:ascii="FrankRuehl" w:hAnsi="FrankRuehl" w:cs="FrankRuehl"/>
          <w:sz w:val="28"/>
          <w:szCs w:val="28"/>
          <w:rtl/>
        </w:rPr>
        <w:t xml:space="preserve">היא האם המקרה נופל בגדר חוק מניעת הטרדה מאיימת, התשס"ב-2001 כטענת </w:t>
      </w:r>
      <w:r w:rsidR="0023626C" w:rsidRPr="007631DC">
        <w:rPr>
          <w:rFonts w:ascii="FrankRuehl" w:hAnsi="FrankRuehl" w:cs="FrankRuehl" w:hint="cs"/>
          <w:sz w:val="28"/>
          <w:szCs w:val="28"/>
          <w:rtl/>
        </w:rPr>
        <w:t xml:space="preserve">המבקשת </w:t>
      </w:r>
      <w:r w:rsidRPr="007631DC">
        <w:rPr>
          <w:rFonts w:ascii="FrankRuehl" w:hAnsi="FrankRuehl" w:cs="FrankRuehl"/>
          <w:sz w:val="28"/>
          <w:szCs w:val="28"/>
          <w:rtl/>
        </w:rPr>
        <w:t>שאז בסמכותי ליתן סעד, או בגדר סעדים שיש לעתור לה</w:t>
      </w:r>
      <w:r w:rsidR="005A5868">
        <w:rPr>
          <w:rFonts w:ascii="FrankRuehl" w:hAnsi="FrankRuehl" w:cs="FrankRuehl" w:hint="cs"/>
          <w:sz w:val="28"/>
          <w:szCs w:val="28"/>
          <w:rtl/>
        </w:rPr>
        <w:t>ם</w:t>
      </w:r>
      <w:r w:rsidRPr="007631DC">
        <w:rPr>
          <w:rFonts w:ascii="FrankRuehl" w:hAnsi="FrankRuehl" w:cs="FrankRuehl"/>
          <w:sz w:val="28"/>
          <w:szCs w:val="28"/>
          <w:rtl/>
        </w:rPr>
        <w:t xml:space="preserve"> מכוח הדין הנוגע לטענות מכוח חוק איסור לשון הרע, התשכ"ה-1965 שאז עלי לדחות התובענה.</w:t>
      </w:r>
    </w:p>
    <w:p w:rsidR="008309C6" w:rsidRPr="008309C6" w:rsidRDefault="008309C6" w:rsidP="008309C6">
      <w:pPr>
        <w:pStyle w:val="af"/>
        <w:rPr>
          <w:rFonts w:ascii="FrankRuehl" w:hAnsi="FrankRuehl" w:cs="FrankRuehl"/>
          <w:sz w:val="28"/>
          <w:szCs w:val="28"/>
          <w:rtl/>
        </w:rPr>
      </w:pPr>
    </w:p>
    <w:p w:rsidR="0033495B" w:rsidRDefault="008309C6" w:rsidP="00C32E73">
      <w:pPr>
        <w:pStyle w:val="af"/>
        <w:numPr>
          <w:ilvl w:val="0"/>
          <w:numId w:val="1"/>
        </w:numPr>
        <w:spacing w:line="360" w:lineRule="auto"/>
        <w:jc w:val="both"/>
        <w:rPr>
          <w:rFonts w:ascii="FrankRuehl" w:hAnsi="FrankRuehl" w:cs="FrankRuehl"/>
          <w:sz w:val="28"/>
          <w:szCs w:val="28"/>
        </w:rPr>
      </w:pPr>
      <w:r w:rsidRPr="00E02538">
        <w:rPr>
          <w:rFonts w:ascii="FrankRuehl" w:hAnsi="FrankRuehl" w:cs="FrankRuehl" w:hint="cs"/>
          <w:sz w:val="28"/>
          <w:szCs w:val="28"/>
          <w:rtl/>
        </w:rPr>
        <w:lastRenderedPageBreak/>
        <w:t xml:space="preserve">חוק מניעת הטרדה מאיימת התשס"ב-2001 נועד </w:t>
      </w:r>
      <w:r w:rsidRPr="00E02538">
        <w:rPr>
          <w:rFonts w:ascii="FrankRuehl" w:hAnsi="FrankRuehl" w:cs="Miriam" w:hint="cs"/>
          <w:color w:val="000000"/>
          <w:sz w:val="26"/>
          <w:rtl/>
        </w:rPr>
        <w:t>"</w:t>
      </w:r>
      <w:r w:rsidRPr="00E02538">
        <w:rPr>
          <w:rFonts w:ascii="FrankRuehl" w:hAnsi="FrankRuehl" w:cs="Miriam"/>
          <w:color w:val="000000"/>
          <w:sz w:val="26"/>
          <w:rtl/>
        </w:rPr>
        <w:t>להגן על אדם מפני פגיעה בשלוות חייו, בפרטיותו, בחירותו או בגופו, בידי אדם אחר שנקט נגדו הטרדה מאיימת או שפגע בגופו</w:t>
      </w:r>
      <w:r w:rsidRPr="00E02538">
        <w:rPr>
          <w:rFonts w:ascii="FrankRuehl" w:hAnsi="FrankRuehl" w:cs="FrankRuehl" w:hint="cs"/>
          <w:color w:val="000000"/>
          <w:sz w:val="26"/>
          <w:szCs w:val="26"/>
          <w:rtl/>
        </w:rPr>
        <w:t>".</w:t>
      </w:r>
      <w:r w:rsidR="003C5DB5" w:rsidRPr="00E02538">
        <w:rPr>
          <w:rFonts w:ascii="FrankRuehl" w:hAnsi="FrankRuehl" w:cs="FrankRuehl" w:hint="cs"/>
          <w:sz w:val="28"/>
          <w:szCs w:val="28"/>
          <w:rtl/>
        </w:rPr>
        <w:t xml:space="preserve"> </w:t>
      </w:r>
      <w:r w:rsidR="00E02538">
        <w:rPr>
          <w:rFonts w:ascii="FrankRuehl" w:hAnsi="FrankRuehl" w:cs="FrankRuehl" w:hint="cs"/>
          <w:sz w:val="28"/>
          <w:szCs w:val="28"/>
          <w:rtl/>
        </w:rPr>
        <w:t>ראו סעיף 1 שם.</w:t>
      </w:r>
    </w:p>
    <w:p w:rsidR="00E02538" w:rsidRPr="00E02538" w:rsidRDefault="00E02538" w:rsidP="00E02538">
      <w:pPr>
        <w:pStyle w:val="af"/>
        <w:rPr>
          <w:rFonts w:ascii="FrankRuehl" w:hAnsi="FrankRuehl" w:cs="FrankRuehl"/>
          <w:sz w:val="28"/>
          <w:szCs w:val="28"/>
          <w:rtl/>
        </w:rPr>
      </w:pPr>
    </w:p>
    <w:p w:rsidR="008309C6" w:rsidRDefault="008309C6" w:rsidP="00E02538">
      <w:pPr>
        <w:pStyle w:val="af"/>
        <w:spacing w:line="360" w:lineRule="auto"/>
        <w:ind w:left="360"/>
        <w:jc w:val="both"/>
        <w:rPr>
          <w:rFonts w:ascii="FrankRuehl" w:hAnsi="FrankRuehl" w:cs="FrankRuehl"/>
          <w:sz w:val="28"/>
          <w:szCs w:val="28"/>
        </w:rPr>
      </w:pPr>
      <w:r w:rsidRPr="00CF7CDC">
        <w:rPr>
          <w:rFonts w:ascii="FrankRuehl" w:hAnsi="FrankRuehl" w:cs="FrankRuehl" w:hint="cs"/>
          <w:color w:val="000000"/>
          <w:sz w:val="28"/>
          <w:szCs w:val="28"/>
          <w:rtl/>
        </w:rPr>
        <w:t xml:space="preserve">סעיף 2(א) לחוק </w:t>
      </w:r>
      <w:r>
        <w:rPr>
          <w:rFonts w:ascii="FrankRuehl" w:hAnsi="FrankRuehl" w:cs="FrankRuehl" w:hint="cs"/>
          <w:color w:val="000000"/>
          <w:sz w:val="28"/>
          <w:szCs w:val="28"/>
          <w:rtl/>
        </w:rPr>
        <w:t>מניעת הטרדה מאיימ</w:t>
      </w:r>
      <w:r w:rsidR="003C5DB5">
        <w:rPr>
          <w:rFonts w:ascii="FrankRuehl" w:hAnsi="FrankRuehl" w:cs="FrankRuehl" w:hint="cs"/>
          <w:color w:val="000000"/>
          <w:sz w:val="28"/>
          <w:szCs w:val="28"/>
          <w:rtl/>
        </w:rPr>
        <w:t>ת</w:t>
      </w:r>
      <w:r>
        <w:rPr>
          <w:rFonts w:ascii="FrankRuehl" w:hAnsi="FrankRuehl" w:cs="FrankRuehl" w:hint="cs"/>
          <w:color w:val="000000"/>
          <w:sz w:val="28"/>
          <w:szCs w:val="28"/>
          <w:rtl/>
        </w:rPr>
        <w:t xml:space="preserve">, התשס"ב-2001, </w:t>
      </w:r>
      <w:r w:rsidRPr="00CF7CDC">
        <w:rPr>
          <w:rFonts w:ascii="FrankRuehl" w:hAnsi="FrankRuehl" w:cs="FrankRuehl" w:hint="cs"/>
          <w:color w:val="000000"/>
          <w:sz w:val="28"/>
          <w:szCs w:val="28"/>
          <w:rtl/>
        </w:rPr>
        <w:t xml:space="preserve">מגדיר מהי הטרדה: </w:t>
      </w:r>
      <w:r w:rsidRPr="00CF7CDC">
        <w:rPr>
          <w:rFonts w:ascii="FrankRuehl" w:hAnsi="FrankRuehl" w:cs="Miriam" w:hint="cs"/>
          <w:color w:val="000000"/>
          <w:sz w:val="28"/>
          <w:rtl/>
        </w:rPr>
        <w:t>"</w:t>
      </w:r>
      <w:r w:rsidRPr="00CF7CDC">
        <w:rPr>
          <w:rFonts w:ascii="FrankRuehl" w:hAnsi="FrankRuehl" w:cs="Miriam"/>
          <w:color w:val="000000"/>
          <w:sz w:val="26"/>
          <w:rtl/>
        </w:rPr>
        <w:t xml:space="preserve">הטרדה מאיימת היא הטרדתו של אדם בידי אחר בכל דרך שהיא או נקיטת איומים כלפיו, בנסיבות הנותנות בסיס סביר להניח כי המטריד או המאיים עלול לשוב </w:t>
      </w:r>
      <w:r w:rsidRPr="00CF7CDC">
        <w:rPr>
          <w:rFonts w:ascii="FrankRuehl" w:hAnsi="FrankRuehl" w:cs="Miriam"/>
          <w:b/>
          <w:bCs/>
          <w:color w:val="000000"/>
          <w:sz w:val="26"/>
          <w:u w:val="single"/>
          <w:rtl/>
        </w:rPr>
        <w:t>ולפגוע בשלוות חייו</w:t>
      </w:r>
      <w:r w:rsidRPr="00CF7CDC">
        <w:rPr>
          <w:rFonts w:ascii="FrankRuehl" w:hAnsi="FrankRuehl" w:cs="Miriam"/>
          <w:color w:val="000000"/>
          <w:sz w:val="26"/>
          <w:rtl/>
        </w:rPr>
        <w:t xml:space="preserve">, </w:t>
      </w:r>
      <w:r w:rsidRPr="00CF7CDC">
        <w:rPr>
          <w:rFonts w:ascii="FrankRuehl" w:hAnsi="FrankRuehl" w:cs="Miriam"/>
          <w:b/>
          <w:bCs/>
          <w:color w:val="000000"/>
          <w:sz w:val="26"/>
          <w:u w:val="single"/>
          <w:rtl/>
        </w:rPr>
        <w:t>בפרטיותו</w:t>
      </w:r>
      <w:r w:rsidRPr="00CF7CDC">
        <w:rPr>
          <w:rFonts w:ascii="FrankRuehl" w:hAnsi="FrankRuehl" w:cs="Miriam"/>
          <w:color w:val="000000"/>
          <w:sz w:val="26"/>
          <w:rtl/>
        </w:rPr>
        <w:t xml:space="preserve"> או בחירותו של האדם או כי הוא עלול לפגוע בגופו</w:t>
      </w:r>
      <w:r w:rsidRPr="00CF7CDC">
        <w:rPr>
          <w:rFonts w:ascii="FrankRuehl" w:hAnsi="FrankRuehl" w:cs="Miriam" w:hint="cs"/>
          <w:sz w:val="28"/>
          <w:rtl/>
        </w:rPr>
        <w:t xml:space="preserve">" </w:t>
      </w:r>
      <w:r w:rsidRPr="00CF7CDC">
        <w:rPr>
          <w:rFonts w:ascii="FrankRuehl" w:hAnsi="FrankRuehl" w:cs="FrankRuehl"/>
          <w:sz w:val="28"/>
          <w:szCs w:val="28"/>
          <w:rtl/>
        </w:rPr>
        <w:t>(הדגשה שלי).</w:t>
      </w:r>
    </w:p>
    <w:p w:rsidR="0060632C" w:rsidRDefault="0060632C" w:rsidP="0060632C">
      <w:pPr>
        <w:pStyle w:val="af"/>
        <w:spacing w:line="360" w:lineRule="auto"/>
        <w:ind w:left="360"/>
        <w:jc w:val="both"/>
        <w:rPr>
          <w:rFonts w:ascii="FrankRuehl" w:hAnsi="FrankRuehl" w:cs="FrankRuehl"/>
          <w:sz w:val="28"/>
          <w:szCs w:val="28"/>
        </w:rPr>
      </w:pPr>
    </w:p>
    <w:p w:rsidR="00970454" w:rsidRPr="005A5868" w:rsidRDefault="0060632C" w:rsidP="00E02538">
      <w:pPr>
        <w:pStyle w:val="af"/>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על בית המשפט לעשות שימוש בסמכותו </w:t>
      </w:r>
      <w:r w:rsidR="00E02538">
        <w:rPr>
          <w:rFonts w:ascii="FrankRuehl" w:hAnsi="FrankRuehl" w:cs="FrankRuehl" w:hint="cs"/>
          <w:sz w:val="28"/>
          <w:szCs w:val="28"/>
          <w:rtl/>
        </w:rPr>
        <w:t>שב</w:t>
      </w:r>
      <w:r w:rsidRPr="00CF7CDC">
        <w:rPr>
          <w:rFonts w:ascii="FrankRuehl" w:hAnsi="FrankRuehl" w:cs="FrankRuehl"/>
          <w:sz w:val="28"/>
          <w:szCs w:val="28"/>
          <w:rtl/>
        </w:rPr>
        <w:t>חוק מניעת הטרדה מאיימת</w:t>
      </w:r>
      <w:r>
        <w:rPr>
          <w:rFonts w:ascii="FrankRuehl" w:hAnsi="FrankRuehl" w:cs="FrankRuehl" w:hint="cs"/>
          <w:sz w:val="28"/>
          <w:szCs w:val="28"/>
          <w:rtl/>
        </w:rPr>
        <w:t>, התשס"ב-2001</w:t>
      </w:r>
      <w:r w:rsidR="00E02538">
        <w:rPr>
          <w:rFonts w:ascii="FrankRuehl" w:hAnsi="FrankRuehl" w:cs="FrankRuehl" w:hint="cs"/>
          <w:sz w:val="28"/>
          <w:szCs w:val="28"/>
          <w:rtl/>
        </w:rPr>
        <w:t>,</w:t>
      </w:r>
      <w:r>
        <w:rPr>
          <w:rFonts w:ascii="FrankRuehl" w:hAnsi="FrankRuehl" w:cs="FrankRuehl" w:hint="cs"/>
          <w:sz w:val="28"/>
          <w:szCs w:val="28"/>
          <w:rtl/>
        </w:rPr>
        <w:t xml:space="preserve"> במשורה ובזהירות המתבקשת</w:t>
      </w:r>
      <w:r w:rsidR="00E02538">
        <w:rPr>
          <w:rFonts w:ascii="FrankRuehl" w:hAnsi="FrankRuehl" w:cs="FrankRuehl" w:hint="cs"/>
          <w:sz w:val="28"/>
          <w:szCs w:val="28"/>
          <w:rtl/>
        </w:rPr>
        <w:t>,</w:t>
      </w:r>
      <w:r>
        <w:rPr>
          <w:rFonts w:ascii="FrankRuehl" w:hAnsi="FrankRuehl" w:cs="FrankRuehl" w:hint="cs"/>
          <w:sz w:val="28"/>
          <w:szCs w:val="28"/>
          <w:rtl/>
        </w:rPr>
        <w:t xml:space="preserve"> על מנת לא לפגוע </w:t>
      </w:r>
      <w:r>
        <w:rPr>
          <w:rFonts w:ascii="FrankRuehl" w:hAnsi="FrankRuehl" w:cs="FrankRuehl"/>
          <w:sz w:val="28"/>
          <w:szCs w:val="28"/>
          <w:rtl/>
        </w:rPr>
        <w:t>ב</w:t>
      </w:r>
      <w:r>
        <w:rPr>
          <w:rFonts w:ascii="FrankRuehl" w:hAnsi="FrankRuehl" w:cs="FrankRuehl" w:hint="cs"/>
          <w:sz w:val="28"/>
          <w:szCs w:val="28"/>
          <w:rtl/>
        </w:rPr>
        <w:t xml:space="preserve">זכויות יסוד וחירויות יסוד של האדם; ובמקרה כאן בעיקר, חופש הביטוי (בג"צ 73/53 </w:t>
      </w:r>
      <w:r>
        <w:rPr>
          <w:rFonts w:ascii="FrankRuehl" w:hAnsi="FrankRuehl" w:cs="FrankRuehl" w:hint="cs"/>
          <w:b/>
          <w:bCs/>
          <w:sz w:val="28"/>
          <w:szCs w:val="28"/>
          <w:rtl/>
        </w:rPr>
        <w:t xml:space="preserve">חברת קול העם נ' שר </w:t>
      </w:r>
      <w:r w:rsidRPr="00CF7CDC">
        <w:rPr>
          <w:rFonts w:ascii="FrankRuehl" w:hAnsi="FrankRuehl" w:cs="FrankRuehl" w:hint="cs"/>
          <w:b/>
          <w:bCs/>
          <w:sz w:val="28"/>
          <w:szCs w:val="28"/>
          <w:rtl/>
        </w:rPr>
        <w:t>הפנים</w:t>
      </w:r>
      <w:r>
        <w:rPr>
          <w:rFonts w:ascii="FrankRuehl" w:hAnsi="FrankRuehl" w:cs="FrankRuehl" w:hint="cs"/>
          <w:sz w:val="28"/>
          <w:szCs w:val="28"/>
          <w:rtl/>
        </w:rPr>
        <w:t xml:space="preserve">, פד"י ז(1) 871, </w:t>
      </w:r>
      <w:r w:rsidRPr="00CF7CDC">
        <w:rPr>
          <w:rFonts w:ascii="FrankRuehl" w:hAnsi="FrankRuehl" w:cs="FrankRuehl" w:hint="cs"/>
          <w:sz w:val="28"/>
          <w:szCs w:val="28"/>
          <w:rtl/>
        </w:rPr>
        <w:t>וזכותו</w:t>
      </w:r>
      <w:r>
        <w:rPr>
          <w:rFonts w:ascii="FrankRuehl" w:hAnsi="FrankRuehl" w:cs="FrankRuehl" w:hint="cs"/>
          <w:sz w:val="28"/>
          <w:szCs w:val="28"/>
          <w:rtl/>
        </w:rPr>
        <w:t xml:space="preserve"> של אדם להגן על כבודו וגופו (ראו חוק יסוד</w:t>
      </w:r>
      <w:r w:rsidR="00E02538">
        <w:rPr>
          <w:rFonts w:ascii="FrankRuehl" w:hAnsi="FrankRuehl" w:cs="FrankRuehl" w:hint="cs"/>
          <w:sz w:val="28"/>
          <w:szCs w:val="28"/>
          <w:rtl/>
        </w:rPr>
        <w:t>:</w:t>
      </w:r>
      <w:r>
        <w:rPr>
          <w:rFonts w:ascii="FrankRuehl" w:hAnsi="FrankRuehl" w:cs="FrankRuehl" w:hint="cs"/>
          <w:sz w:val="28"/>
          <w:szCs w:val="28"/>
          <w:rtl/>
        </w:rPr>
        <w:t xml:space="preserve"> כבוד האדם וחירותו). </w:t>
      </w:r>
      <w:r w:rsidR="00970454">
        <w:rPr>
          <w:rFonts w:ascii="FrankRuehl" w:hAnsi="FrankRuehl" w:cs="FrankRuehl" w:hint="cs"/>
          <w:sz w:val="28"/>
          <w:szCs w:val="28"/>
          <w:rtl/>
        </w:rPr>
        <w:t xml:space="preserve">ראו גם בר"ע </w:t>
      </w:r>
      <w:r w:rsidR="00970454" w:rsidRPr="00970454">
        <w:rPr>
          <w:rFonts w:ascii="FrankRuehl" w:hAnsi="FrankRuehl" w:cs="FrankRuehl"/>
          <w:sz w:val="28"/>
          <w:szCs w:val="28"/>
          <w:rtl/>
        </w:rPr>
        <w:t xml:space="preserve">(י-ם) 179/04 </w:t>
      </w:r>
      <w:r w:rsidR="00970454" w:rsidRPr="00970454">
        <w:rPr>
          <w:rFonts w:ascii="FrankRuehl" w:hAnsi="FrankRuehl" w:cs="FrankRuehl"/>
          <w:b/>
          <w:bCs/>
          <w:sz w:val="28"/>
          <w:szCs w:val="28"/>
          <w:rtl/>
        </w:rPr>
        <w:t>נס שובל נ' מרים ניסים</w:t>
      </w:r>
      <w:r w:rsidR="00970454" w:rsidRPr="00970454">
        <w:rPr>
          <w:rFonts w:ascii="FrankRuehl" w:hAnsi="FrankRuehl" w:cs="FrankRuehl" w:hint="cs"/>
          <w:sz w:val="28"/>
          <w:szCs w:val="28"/>
          <w:rtl/>
        </w:rPr>
        <w:t>, סעיף 2</w:t>
      </w:r>
      <w:r w:rsidR="00970454">
        <w:rPr>
          <w:rFonts w:ascii="FrankRuehl" w:hAnsi="FrankRuehl" w:cs="FrankRuehl" w:hint="cs"/>
          <w:sz w:val="28"/>
          <w:szCs w:val="28"/>
          <w:rtl/>
        </w:rPr>
        <w:t>1</w:t>
      </w:r>
      <w:r w:rsidR="00970454" w:rsidRPr="00970454">
        <w:rPr>
          <w:rFonts w:ascii="FrankRuehl" w:hAnsi="FrankRuehl" w:cs="FrankRuehl" w:hint="cs"/>
          <w:sz w:val="28"/>
          <w:szCs w:val="28"/>
          <w:rtl/>
        </w:rPr>
        <w:t xml:space="preserve"> לפסה"ד מיום 10</w:t>
      </w:r>
      <w:r w:rsidR="00970454" w:rsidRPr="0033495B">
        <w:rPr>
          <w:rFonts w:ascii="FrankRuehl" w:hAnsi="FrankRuehl" w:cs="FrankRuehl" w:hint="cs"/>
          <w:sz w:val="28"/>
          <w:szCs w:val="28"/>
          <w:rtl/>
        </w:rPr>
        <w:t>.08.2004</w:t>
      </w:r>
      <w:r w:rsidR="00970454" w:rsidRPr="005A5868">
        <w:rPr>
          <w:rFonts w:ascii="FrankRuehl" w:hAnsi="FrankRuehl" w:cs="FrankRuehl" w:hint="cs"/>
          <w:sz w:val="28"/>
          <w:szCs w:val="28"/>
          <w:rtl/>
        </w:rPr>
        <w:t xml:space="preserve">. </w:t>
      </w:r>
    </w:p>
    <w:p w:rsidR="00CF7CDC" w:rsidRPr="005A5868" w:rsidRDefault="00CF7CDC" w:rsidP="00CF7CDC">
      <w:pPr>
        <w:pStyle w:val="af"/>
        <w:rPr>
          <w:rFonts w:ascii="FrankRuehl" w:hAnsi="FrankRuehl" w:cs="FrankRuehl"/>
          <w:sz w:val="28"/>
          <w:szCs w:val="28"/>
          <w:rtl/>
        </w:rPr>
      </w:pPr>
    </w:p>
    <w:p w:rsidR="008309C6" w:rsidRDefault="008309C6" w:rsidP="009D196F">
      <w:pPr>
        <w:pStyle w:val="af"/>
        <w:numPr>
          <w:ilvl w:val="0"/>
          <w:numId w:val="1"/>
        </w:numPr>
        <w:spacing w:line="360" w:lineRule="auto"/>
        <w:jc w:val="both"/>
        <w:rPr>
          <w:rFonts w:ascii="FrankRuehl" w:hAnsi="FrankRuehl" w:cs="FrankRuehl"/>
          <w:sz w:val="28"/>
          <w:szCs w:val="28"/>
        </w:rPr>
      </w:pPr>
      <w:r w:rsidRPr="005A5868">
        <w:rPr>
          <w:rFonts w:ascii="FrankRuehl" w:hAnsi="FrankRuehl" w:cs="FrankRuehl" w:hint="cs"/>
          <w:sz w:val="28"/>
          <w:szCs w:val="28"/>
          <w:rtl/>
        </w:rPr>
        <w:t>הואיל והדגש בחוק, כשמו, הוא על היות</w:t>
      </w:r>
      <w:r w:rsidR="00E02538" w:rsidRPr="005A5868">
        <w:rPr>
          <w:rFonts w:ascii="FrankRuehl" w:hAnsi="FrankRuehl" w:cs="FrankRuehl" w:hint="cs"/>
          <w:sz w:val="28"/>
          <w:szCs w:val="28"/>
          <w:rtl/>
        </w:rPr>
        <w:t xml:space="preserve"> </w:t>
      </w:r>
      <w:r w:rsidRPr="005A5868">
        <w:rPr>
          <w:rFonts w:ascii="FrankRuehl" w:hAnsi="FrankRuehl" w:cs="FrankRuehl" w:hint="cs"/>
          <w:sz w:val="28"/>
          <w:szCs w:val="28"/>
          <w:rtl/>
        </w:rPr>
        <w:t>המעשה מושא ההליך</w:t>
      </w:r>
      <w:r w:rsidR="00E02538" w:rsidRPr="005A5868">
        <w:rPr>
          <w:rFonts w:ascii="FrankRuehl" w:hAnsi="FrankRuehl" w:cs="FrankRuehl" w:hint="cs"/>
          <w:sz w:val="28"/>
          <w:szCs w:val="28"/>
          <w:rtl/>
        </w:rPr>
        <w:t>,</w:t>
      </w:r>
      <w:r w:rsidRPr="005A5868">
        <w:rPr>
          <w:rFonts w:ascii="FrankRuehl" w:hAnsi="FrankRuehl" w:cs="FrankRuehl" w:hint="cs"/>
          <w:sz w:val="28"/>
          <w:szCs w:val="28"/>
          <w:rtl/>
        </w:rPr>
        <w:t xml:space="preserve"> </w:t>
      </w:r>
      <w:r w:rsidR="00E02538" w:rsidRPr="005A5868">
        <w:rPr>
          <w:rFonts w:ascii="FrankRuehl" w:hAnsi="FrankRuehl" w:cs="FrankRuehl" w:hint="cs"/>
          <w:sz w:val="28"/>
          <w:szCs w:val="28"/>
          <w:rtl/>
        </w:rPr>
        <w:t>"</w:t>
      </w:r>
      <w:r w:rsidRPr="005A5868">
        <w:rPr>
          <w:rFonts w:ascii="FrankRuehl" w:hAnsi="FrankRuehl" w:cs="FrankRuehl" w:hint="cs"/>
          <w:sz w:val="28"/>
          <w:szCs w:val="28"/>
          <w:rtl/>
        </w:rPr>
        <w:t>הטרדה</w:t>
      </w:r>
      <w:r w:rsidRPr="0033495B">
        <w:rPr>
          <w:rFonts w:ascii="FrankRuehl" w:hAnsi="FrankRuehl" w:cs="FrankRuehl" w:hint="cs"/>
          <w:sz w:val="28"/>
          <w:szCs w:val="28"/>
          <w:rtl/>
        </w:rPr>
        <w:t xml:space="preserve"> </w:t>
      </w:r>
      <w:r w:rsidR="0023626C" w:rsidRPr="0033495B">
        <w:rPr>
          <w:rFonts w:ascii="FrankRuehl" w:hAnsi="FrankRuehl" w:cs="FrankRuehl" w:hint="cs"/>
          <w:sz w:val="28"/>
          <w:szCs w:val="28"/>
          <w:rtl/>
        </w:rPr>
        <w:t>מאיימת</w:t>
      </w:r>
      <w:r w:rsidR="00E02538">
        <w:rPr>
          <w:rFonts w:ascii="FrankRuehl" w:hAnsi="FrankRuehl" w:cs="FrankRuehl" w:hint="cs"/>
          <w:sz w:val="28"/>
          <w:szCs w:val="28"/>
          <w:rtl/>
        </w:rPr>
        <w:t>"</w:t>
      </w:r>
      <w:r w:rsidRPr="0033495B">
        <w:rPr>
          <w:rFonts w:ascii="FrankRuehl" w:hAnsi="FrankRuehl" w:cs="FrankRuehl" w:hint="cs"/>
          <w:sz w:val="28"/>
          <w:szCs w:val="28"/>
          <w:rtl/>
        </w:rPr>
        <w:t xml:space="preserve"> או פגיעה בשלוות חייו ופרטיותו של אדם</w:t>
      </w:r>
      <w:r w:rsidR="00E02538">
        <w:rPr>
          <w:rFonts w:ascii="FrankRuehl" w:hAnsi="FrankRuehl" w:cs="FrankRuehl" w:hint="cs"/>
          <w:sz w:val="28"/>
          <w:szCs w:val="28"/>
          <w:rtl/>
        </w:rPr>
        <w:t xml:space="preserve">. על כן, </w:t>
      </w:r>
      <w:r w:rsidR="00747E0D" w:rsidRPr="0033495B">
        <w:rPr>
          <w:rFonts w:ascii="FrankRuehl" w:hAnsi="FrankRuehl" w:cs="FrankRuehl" w:hint="cs"/>
          <w:sz w:val="28"/>
          <w:szCs w:val="28"/>
          <w:rtl/>
        </w:rPr>
        <w:t>לא כל הטרדה</w:t>
      </w:r>
      <w:r w:rsidR="00E02538">
        <w:rPr>
          <w:rFonts w:ascii="FrankRuehl" w:hAnsi="FrankRuehl" w:cs="FrankRuehl" w:hint="cs"/>
          <w:sz w:val="28"/>
          <w:szCs w:val="28"/>
          <w:rtl/>
        </w:rPr>
        <w:t xml:space="preserve"> תהא </w:t>
      </w:r>
      <w:r w:rsidR="00747E0D" w:rsidRPr="0033495B">
        <w:rPr>
          <w:rFonts w:ascii="FrankRuehl" w:hAnsi="FrankRuehl" w:cs="FrankRuehl" w:hint="cs"/>
          <w:sz w:val="28"/>
          <w:szCs w:val="28"/>
          <w:rtl/>
        </w:rPr>
        <w:t>ב</w:t>
      </w:r>
      <w:r w:rsidRPr="0033495B">
        <w:rPr>
          <w:rFonts w:ascii="FrankRuehl" w:hAnsi="FrankRuehl" w:cs="FrankRuehl" w:hint="cs"/>
          <w:sz w:val="28"/>
          <w:szCs w:val="28"/>
          <w:rtl/>
        </w:rPr>
        <w:t>ג</w:t>
      </w:r>
      <w:r w:rsidR="00747E0D" w:rsidRPr="0033495B">
        <w:rPr>
          <w:rFonts w:ascii="FrankRuehl" w:hAnsi="FrankRuehl" w:cs="FrankRuehl" w:hint="cs"/>
          <w:sz w:val="28"/>
          <w:szCs w:val="28"/>
          <w:rtl/>
        </w:rPr>
        <w:t>ד</w:t>
      </w:r>
      <w:r w:rsidRPr="0033495B">
        <w:rPr>
          <w:rFonts w:ascii="FrankRuehl" w:hAnsi="FrankRuehl" w:cs="FrankRuehl" w:hint="cs"/>
          <w:sz w:val="28"/>
          <w:szCs w:val="28"/>
          <w:rtl/>
        </w:rPr>
        <w:t>ר הטרדה מאיימת</w:t>
      </w:r>
      <w:r w:rsidR="00203A82">
        <w:rPr>
          <w:rFonts w:ascii="FrankRuehl" w:hAnsi="FrankRuehl" w:cs="FrankRuehl" w:hint="cs"/>
          <w:sz w:val="28"/>
          <w:szCs w:val="28"/>
          <w:rtl/>
        </w:rPr>
        <w:t xml:space="preserve"> שתביא </w:t>
      </w:r>
      <w:r w:rsidR="009D196F">
        <w:rPr>
          <w:rFonts w:ascii="FrankRuehl" w:hAnsi="FrankRuehl" w:cs="FrankRuehl" w:hint="cs"/>
          <w:sz w:val="28"/>
          <w:szCs w:val="28"/>
          <w:rtl/>
        </w:rPr>
        <w:t xml:space="preserve">למתן </w:t>
      </w:r>
      <w:r w:rsidR="00203A82">
        <w:rPr>
          <w:rFonts w:ascii="FrankRuehl" w:hAnsi="FrankRuehl" w:cs="FrankRuehl" w:hint="cs"/>
          <w:sz w:val="28"/>
          <w:szCs w:val="28"/>
          <w:rtl/>
        </w:rPr>
        <w:t xml:space="preserve">סעד. על ההטרדה </w:t>
      </w:r>
      <w:r w:rsidRPr="0033495B">
        <w:rPr>
          <w:rFonts w:ascii="FrankRuehl" w:hAnsi="FrankRuehl" w:cs="FrankRuehl" w:hint="cs"/>
          <w:sz w:val="28"/>
          <w:szCs w:val="28"/>
          <w:rtl/>
        </w:rPr>
        <w:t xml:space="preserve">לשאת אופי מאיים או </w:t>
      </w:r>
      <w:r w:rsidR="00203A82">
        <w:rPr>
          <w:rFonts w:ascii="FrankRuehl" w:hAnsi="FrankRuehl" w:cs="FrankRuehl" w:hint="cs"/>
          <w:sz w:val="28"/>
          <w:szCs w:val="28"/>
          <w:rtl/>
        </w:rPr>
        <w:t xml:space="preserve">להקים </w:t>
      </w:r>
      <w:r w:rsidRPr="0033495B">
        <w:rPr>
          <w:rFonts w:ascii="FrankRuehl" w:hAnsi="FrankRuehl" w:cs="FrankRuehl" w:hint="cs"/>
          <w:sz w:val="28"/>
          <w:szCs w:val="28"/>
          <w:rtl/>
        </w:rPr>
        <w:t xml:space="preserve">חשש מפני חזרה על אותה הטרדה </w:t>
      </w:r>
      <w:r w:rsidR="00203A82">
        <w:rPr>
          <w:rFonts w:ascii="FrankRuehl" w:hAnsi="FrankRuehl" w:cs="FrankRuehl"/>
          <w:sz w:val="28"/>
          <w:szCs w:val="28"/>
          <w:rtl/>
        </w:rPr>
        <w:t>–</w:t>
      </w:r>
      <w:r w:rsidR="00203A82">
        <w:rPr>
          <w:rFonts w:ascii="FrankRuehl" w:hAnsi="FrankRuehl" w:cs="FrankRuehl" w:hint="cs"/>
          <w:sz w:val="28"/>
          <w:szCs w:val="28"/>
          <w:rtl/>
        </w:rPr>
        <w:t xml:space="preserve"> מה שהופך אותה ל"הטרדה מאיימת"</w:t>
      </w:r>
      <w:r w:rsidRPr="0033495B">
        <w:rPr>
          <w:rFonts w:ascii="FrankRuehl" w:hAnsi="FrankRuehl" w:cs="FrankRuehl" w:hint="cs"/>
          <w:sz w:val="28"/>
          <w:szCs w:val="28"/>
          <w:rtl/>
        </w:rPr>
        <w:t xml:space="preserve">. ראו </w:t>
      </w:r>
      <w:r>
        <w:rPr>
          <w:rFonts w:ascii="FrankRuehl" w:hAnsi="FrankRuehl" w:cs="FrankRuehl" w:hint="cs"/>
          <w:sz w:val="28"/>
          <w:szCs w:val="28"/>
          <w:rtl/>
        </w:rPr>
        <w:t xml:space="preserve">גלי רון, </w:t>
      </w:r>
      <w:r>
        <w:rPr>
          <w:rFonts w:ascii="FrankRuehl" w:hAnsi="FrankRuehl" w:cs="FrankRuehl" w:hint="cs"/>
          <w:b/>
          <w:bCs/>
          <w:sz w:val="28"/>
          <w:szCs w:val="28"/>
          <w:rtl/>
        </w:rPr>
        <w:t>צווי הרחקה במשפט האזרחי,</w:t>
      </w:r>
      <w:r>
        <w:rPr>
          <w:rFonts w:ascii="FrankRuehl" w:hAnsi="FrankRuehl" w:cs="FrankRuehl" w:hint="cs"/>
          <w:sz w:val="28"/>
          <w:szCs w:val="28"/>
          <w:rtl/>
        </w:rPr>
        <w:t xml:space="preserve"> 2019 בעמוד 149. </w:t>
      </w:r>
    </w:p>
    <w:p w:rsidR="00E02538" w:rsidRPr="008309C6" w:rsidRDefault="00E02538" w:rsidP="008309C6">
      <w:pPr>
        <w:pStyle w:val="af"/>
        <w:spacing w:line="360" w:lineRule="auto"/>
        <w:ind w:left="360"/>
        <w:jc w:val="both"/>
        <w:rPr>
          <w:rFonts w:ascii="FrankRuehl" w:hAnsi="FrankRuehl" w:cs="FrankRuehl"/>
          <w:sz w:val="28"/>
          <w:szCs w:val="28"/>
        </w:rPr>
      </w:pPr>
    </w:p>
    <w:p w:rsidR="003C5DB5" w:rsidRDefault="00203A82" w:rsidP="00203A82">
      <w:pPr>
        <w:pStyle w:val="af"/>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גם </w:t>
      </w:r>
      <w:r w:rsidR="008309C6" w:rsidRPr="008309C6">
        <w:rPr>
          <w:rFonts w:ascii="FrankRuehl" w:hAnsi="FrankRuehl" w:cs="FrankRuehl"/>
          <w:sz w:val="28"/>
          <w:szCs w:val="28"/>
          <w:rtl/>
        </w:rPr>
        <w:t xml:space="preserve">לא כל פרסום הפוגע בשמו הטוב או בשלוות חייו של אדם ולא כל סיקור עיתונאי גם אם הם </w:t>
      </w:r>
      <w:r w:rsidRPr="008309C6">
        <w:rPr>
          <w:rFonts w:ascii="FrankRuehl" w:hAnsi="FrankRuehl" w:cs="FrankRuehl"/>
          <w:sz w:val="28"/>
          <w:szCs w:val="28"/>
          <w:rtl/>
        </w:rPr>
        <w:t>נכתבו באופן שאינו מחמיא, ביקורתי או נוקב,</w:t>
      </w:r>
      <w:r>
        <w:rPr>
          <w:rFonts w:ascii="FrankRuehl" w:hAnsi="FrankRuehl" w:cs="FrankRuehl" w:hint="cs"/>
          <w:sz w:val="28"/>
          <w:szCs w:val="28"/>
          <w:rtl/>
        </w:rPr>
        <w:t xml:space="preserve"> או ע</w:t>
      </w:r>
      <w:r w:rsidR="008309C6" w:rsidRPr="008309C6">
        <w:rPr>
          <w:rFonts w:ascii="FrankRuehl" w:hAnsi="FrankRuehl" w:cs="FrankRuehl"/>
          <w:sz w:val="28"/>
          <w:szCs w:val="28"/>
          <w:rtl/>
        </w:rPr>
        <w:t>לולים לפגוע, בש</w:t>
      </w:r>
      <w:r>
        <w:rPr>
          <w:rFonts w:ascii="FrankRuehl" w:hAnsi="FrankRuehl" w:cs="FrankRuehl" w:hint="cs"/>
          <w:sz w:val="28"/>
          <w:szCs w:val="28"/>
          <w:rtl/>
        </w:rPr>
        <w:t>ם הטוב</w:t>
      </w:r>
      <w:r w:rsidR="008309C6" w:rsidRPr="008309C6">
        <w:rPr>
          <w:rFonts w:ascii="FrankRuehl" w:hAnsi="FrankRuehl" w:cs="FrankRuehl"/>
          <w:sz w:val="28"/>
          <w:szCs w:val="28"/>
          <w:rtl/>
        </w:rPr>
        <w:t xml:space="preserve">, </w:t>
      </w:r>
      <w:r>
        <w:rPr>
          <w:rFonts w:ascii="FrankRuehl" w:hAnsi="FrankRuehl" w:cs="FrankRuehl" w:hint="cs"/>
          <w:sz w:val="28"/>
          <w:szCs w:val="28"/>
          <w:rtl/>
        </w:rPr>
        <w:t xml:space="preserve">או להכפיש או לעשות אדם </w:t>
      </w:r>
      <w:r w:rsidR="008309C6" w:rsidRPr="008309C6">
        <w:rPr>
          <w:rFonts w:ascii="FrankRuehl" w:hAnsi="FrankRuehl" w:cs="FrankRuehl"/>
          <w:sz w:val="28"/>
          <w:szCs w:val="28"/>
          <w:rtl/>
        </w:rPr>
        <w:t>ללעג ולקלס,</w:t>
      </w:r>
      <w:r w:rsidR="008309C6" w:rsidRPr="008309C6">
        <w:rPr>
          <w:rFonts w:ascii="FrankRuehl" w:hAnsi="FrankRuehl" w:cs="FrankRuehl" w:hint="cs"/>
          <w:sz w:val="28"/>
          <w:szCs w:val="28"/>
          <w:rtl/>
        </w:rPr>
        <w:t xml:space="preserve"> </w:t>
      </w:r>
      <w:r w:rsidR="008309C6" w:rsidRPr="008309C6">
        <w:rPr>
          <w:rFonts w:ascii="FrankRuehl" w:hAnsi="FrankRuehl" w:cs="FrankRuehl"/>
          <w:sz w:val="28"/>
          <w:szCs w:val="28"/>
          <w:rtl/>
        </w:rPr>
        <w:t>ואפילו אם הם בגדר לשון הרע</w:t>
      </w:r>
      <w:r>
        <w:rPr>
          <w:rFonts w:ascii="FrankRuehl" w:hAnsi="FrankRuehl" w:cs="FrankRuehl" w:hint="cs"/>
          <w:sz w:val="28"/>
          <w:szCs w:val="28"/>
          <w:rtl/>
        </w:rPr>
        <w:t xml:space="preserve"> </w:t>
      </w:r>
      <w:r>
        <w:rPr>
          <w:rFonts w:ascii="FrankRuehl" w:hAnsi="FrankRuehl" w:cs="FrankRuehl"/>
          <w:sz w:val="28"/>
          <w:szCs w:val="28"/>
          <w:rtl/>
        </w:rPr>
        <w:t>–</w:t>
      </w:r>
      <w:r>
        <w:rPr>
          <w:rFonts w:ascii="FrankRuehl" w:hAnsi="FrankRuehl" w:cs="FrankRuehl" w:hint="cs"/>
          <w:sz w:val="28"/>
          <w:szCs w:val="28"/>
          <w:rtl/>
        </w:rPr>
        <w:t xml:space="preserve"> יהיו </w:t>
      </w:r>
      <w:r w:rsidR="008309C6" w:rsidRPr="008309C6">
        <w:rPr>
          <w:rFonts w:ascii="FrankRuehl" w:hAnsi="FrankRuehl" w:cs="FrankRuehl"/>
          <w:sz w:val="28"/>
          <w:szCs w:val="28"/>
          <w:rtl/>
        </w:rPr>
        <w:t xml:space="preserve">בגדר </w:t>
      </w:r>
      <w:r>
        <w:rPr>
          <w:rFonts w:ascii="FrankRuehl" w:hAnsi="FrankRuehl" w:cs="FrankRuehl" w:hint="cs"/>
          <w:sz w:val="28"/>
          <w:szCs w:val="28"/>
          <w:rtl/>
        </w:rPr>
        <w:t>"</w:t>
      </w:r>
      <w:r w:rsidR="008309C6" w:rsidRPr="008309C6">
        <w:rPr>
          <w:rFonts w:ascii="FrankRuehl" w:hAnsi="FrankRuehl" w:cs="FrankRuehl"/>
          <w:sz w:val="28"/>
          <w:szCs w:val="28"/>
          <w:rtl/>
        </w:rPr>
        <w:t>הטרדה מאיימת</w:t>
      </w:r>
      <w:r>
        <w:rPr>
          <w:rFonts w:ascii="FrankRuehl" w:hAnsi="FrankRuehl" w:cs="FrankRuehl" w:hint="cs"/>
          <w:sz w:val="28"/>
          <w:szCs w:val="28"/>
          <w:rtl/>
        </w:rPr>
        <w:t>" ר</w:t>
      </w:r>
      <w:r w:rsidR="008309C6" w:rsidRPr="008309C6">
        <w:rPr>
          <w:rFonts w:ascii="FrankRuehl" w:hAnsi="FrankRuehl" w:cs="FrankRuehl"/>
          <w:sz w:val="28"/>
          <w:szCs w:val="28"/>
          <w:rtl/>
        </w:rPr>
        <w:t>או</w:t>
      </w:r>
      <w:r w:rsidR="008309C6" w:rsidRPr="008309C6">
        <w:rPr>
          <w:rFonts w:ascii="FrankRuehl" w:hAnsi="FrankRuehl" w:cs="Miriam" w:hint="cs"/>
          <w:sz w:val="28"/>
          <w:rtl/>
        </w:rPr>
        <w:t xml:space="preserve"> </w:t>
      </w:r>
      <w:r w:rsidR="00CF7CDC" w:rsidRPr="008309C6">
        <w:rPr>
          <w:rFonts w:ascii="FrankRuehl" w:hAnsi="FrankRuehl" w:cs="FrankRuehl" w:hint="cs"/>
          <w:sz w:val="28"/>
          <w:szCs w:val="28"/>
          <w:rtl/>
        </w:rPr>
        <w:t xml:space="preserve">ה"ט 9757-07-22 </w:t>
      </w:r>
      <w:r w:rsidR="00CF7CDC" w:rsidRPr="008309C6">
        <w:rPr>
          <w:rFonts w:ascii="FrankRuehl" w:hAnsi="FrankRuehl" w:cs="FrankRuehl" w:hint="cs"/>
          <w:b/>
          <w:bCs/>
          <w:sz w:val="28"/>
          <w:szCs w:val="28"/>
          <w:rtl/>
        </w:rPr>
        <w:t>ד"ר שרון אלרעי פרייס נ' יוספה טמיר ברק ואחרים,</w:t>
      </w:r>
      <w:r w:rsidR="008309C6" w:rsidRPr="008309C6">
        <w:rPr>
          <w:rFonts w:ascii="FrankRuehl" w:hAnsi="FrankRuehl" w:cs="FrankRuehl" w:hint="cs"/>
          <w:sz w:val="28"/>
          <w:szCs w:val="28"/>
          <w:rtl/>
        </w:rPr>
        <w:t xml:space="preserve"> </w:t>
      </w:r>
      <w:r w:rsidR="00CF7CDC" w:rsidRPr="008309C6">
        <w:rPr>
          <w:rFonts w:ascii="FrankRuehl" w:hAnsi="FrankRuehl" w:cs="FrankRuehl" w:hint="cs"/>
          <w:sz w:val="28"/>
          <w:szCs w:val="28"/>
          <w:rtl/>
        </w:rPr>
        <w:t>מיום 17.07.2022</w:t>
      </w:r>
      <w:r w:rsidR="008309C6">
        <w:rPr>
          <w:rFonts w:ascii="FrankRuehl" w:hAnsi="FrankRuehl" w:cs="FrankRuehl" w:hint="cs"/>
          <w:sz w:val="28"/>
          <w:szCs w:val="28"/>
          <w:rtl/>
        </w:rPr>
        <w:t>.</w:t>
      </w:r>
    </w:p>
    <w:p w:rsidR="003C5DB5" w:rsidRPr="003C5DB5" w:rsidRDefault="003C5DB5" w:rsidP="003C5DB5">
      <w:pPr>
        <w:pStyle w:val="af"/>
        <w:rPr>
          <w:rFonts w:ascii="FrankRuehl" w:hAnsi="FrankRuehl" w:cs="FrankRuehl"/>
          <w:sz w:val="28"/>
          <w:szCs w:val="28"/>
          <w:rtl/>
        </w:rPr>
      </w:pPr>
    </w:p>
    <w:p w:rsidR="00E310BE" w:rsidRDefault="003C5DB5" w:rsidP="00E310BE">
      <w:pPr>
        <w:pStyle w:val="af"/>
        <w:numPr>
          <w:ilvl w:val="0"/>
          <w:numId w:val="1"/>
        </w:numPr>
        <w:spacing w:line="360" w:lineRule="auto"/>
        <w:jc w:val="both"/>
        <w:rPr>
          <w:rFonts w:ascii="FrankRuehl" w:hAnsi="FrankRuehl" w:cs="FrankRuehl"/>
          <w:sz w:val="28"/>
          <w:szCs w:val="28"/>
        </w:rPr>
      </w:pPr>
      <w:r w:rsidRPr="00E310BE">
        <w:rPr>
          <w:rFonts w:ascii="FrankRuehl" w:hAnsi="FrankRuehl" w:cs="FrankRuehl" w:hint="cs"/>
          <w:sz w:val="28"/>
          <w:szCs w:val="28"/>
          <w:rtl/>
        </w:rPr>
        <w:t>כשהדבר נוגע לפרסומים, יש להוכיח כי מדובר בפרסומים רבים, חוזרים ונשנים, כך שהתדירות, האינטנסיביות</w:t>
      </w:r>
      <w:r w:rsidR="00E310BE" w:rsidRPr="00E310BE">
        <w:rPr>
          <w:rFonts w:ascii="FrankRuehl" w:hAnsi="FrankRuehl" w:cs="FrankRuehl" w:hint="cs"/>
          <w:sz w:val="28"/>
          <w:szCs w:val="28"/>
          <w:rtl/>
        </w:rPr>
        <w:t>,</w:t>
      </w:r>
      <w:r w:rsidRPr="00E310BE">
        <w:rPr>
          <w:rFonts w:ascii="FrankRuehl" w:hAnsi="FrankRuehl" w:cs="FrankRuehl" w:hint="cs"/>
          <w:sz w:val="28"/>
          <w:szCs w:val="28"/>
          <w:rtl/>
        </w:rPr>
        <w:t xml:space="preserve"> יחד עם תוכנם</w:t>
      </w:r>
      <w:r w:rsidR="00E310BE" w:rsidRPr="00E310BE">
        <w:rPr>
          <w:rFonts w:ascii="FrankRuehl" w:hAnsi="FrankRuehl" w:cs="FrankRuehl" w:hint="cs"/>
          <w:sz w:val="28"/>
          <w:szCs w:val="28"/>
          <w:rtl/>
        </w:rPr>
        <w:t>,</w:t>
      </w:r>
      <w:r w:rsidRPr="00E310BE">
        <w:rPr>
          <w:rFonts w:ascii="FrankRuehl" w:hAnsi="FrankRuehl" w:cs="FrankRuehl" w:hint="cs"/>
          <w:sz w:val="28"/>
          <w:szCs w:val="28"/>
          <w:rtl/>
        </w:rPr>
        <w:t xml:space="preserve"> גורמת לפגיעה ממשית </w:t>
      </w:r>
      <w:r w:rsidR="00E310BE" w:rsidRPr="00E310BE">
        <w:rPr>
          <w:rFonts w:ascii="FrankRuehl" w:hAnsi="FrankRuehl" w:cs="FrankRuehl" w:hint="cs"/>
          <w:sz w:val="28"/>
          <w:szCs w:val="28"/>
          <w:rtl/>
        </w:rPr>
        <w:t>במבקש הסעד, ב</w:t>
      </w:r>
      <w:r w:rsidRPr="00E310BE">
        <w:rPr>
          <w:rFonts w:ascii="FrankRuehl" w:hAnsi="FrankRuehl" w:cs="FrankRuehl" w:hint="cs"/>
          <w:sz w:val="28"/>
          <w:szCs w:val="28"/>
          <w:rtl/>
        </w:rPr>
        <w:t xml:space="preserve">שגרת חיים או </w:t>
      </w:r>
      <w:r w:rsidR="00E310BE" w:rsidRPr="00E310BE">
        <w:rPr>
          <w:rFonts w:ascii="FrankRuehl" w:hAnsi="FrankRuehl" w:cs="FrankRuehl" w:hint="cs"/>
          <w:sz w:val="28"/>
          <w:szCs w:val="28"/>
          <w:rtl/>
        </w:rPr>
        <w:t>ב</w:t>
      </w:r>
      <w:r w:rsidRPr="00E310BE">
        <w:rPr>
          <w:rFonts w:ascii="FrankRuehl" w:hAnsi="FrankRuehl" w:cs="FrankRuehl" w:hint="cs"/>
          <w:sz w:val="28"/>
          <w:szCs w:val="28"/>
          <w:rtl/>
        </w:rPr>
        <w:t xml:space="preserve">פגיעה בפרטיותו. </w:t>
      </w:r>
      <w:r w:rsidR="00E310BE">
        <w:rPr>
          <w:rFonts w:ascii="FrankRuehl" w:hAnsi="FrankRuehl" w:cs="FrankRuehl" w:hint="cs"/>
          <w:sz w:val="28"/>
          <w:szCs w:val="28"/>
          <w:rtl/>
        </w:rPr>
        <w:t xml:space="preserve">במקרה שכזה, של </w:t>
      </w:r>
      <w:r>
        <w:rPr>
          <w:rFonts w:ascii="FrankRuehl" w:hAnsi="FrankRuehl" w:cs="FrankRuehl" w:hint="cs"/>
          <w:sz w:val="28"/>
          <w:szCs w:val="28"/>
          <w:rtl/>
        </w:rPr>
        <w:t xml:space="preserve">פרסומים חוזרים ונשנים, </w:t>
      </w:r>
      <w:r w:rsidR="007A7023">
        <w:rPr>
          <w:rFonts w:ascii="FrankRuehl" w:hAnsi="FrankRuehl" w:cs="FrankRuehl" w:hint="cs"/>
          <w:sz w:val="28"/>
          <w:szCs w:val="28"/>
          <w:rtl/>
        </w:rPr>
        <w:t>ו</w:t>
      </w:r>
      <w:r w:rsidR="00E310BE">
        <w:rPr>
          <w:rFonts w:ascii="FrankRuehl" w:hAnsi="FrankRuehl" w:cs="FrankRuehl" w:hint="cs"/>
          <w:sz w:val="28"/>
          <w:szCs w:val="28"/>
          <w:rtl/>
        </w:rPr>
        <w:t>שימוש ב</w:t>
      </w:r>
      <w:r>
        <w:rPr>
          <w:rFonts w:ascii="FrankRuehl" w:hAnsi="FrankRuehl" w:cs="FrankRuehl" w:hint="cs"/>
          <w:sz w:val="28"/>
          <w:szCs w:val="28"/>
          <w:rtl/>
        </w:rPr>
        <w:t>אמצעים שונים</w:t>
      </w:r>
      <w:r w:rsidR="00E310BE">
        <w:rPr>
          <w:rFonts w:ascii="FrankRuehl" w:hAnsi="FrankRuehl" w:cs="FrankRuehl" w:hint="cs"/>
          <w:sz w:val="28"/>
          <w:szCs w:val="28"/>
          <w:rtl/>
        </w:rPr>
        <w:t xml:space="preserve">, הם שיכול ויוציאו הפירסום מתחולת </w:t>
      </w:r>
      <w:r w:rsidRPr="00AF05CE">
        <w:rPr>
          <w:rFonts w:ascii="FrankRuehl" w:hAnsi="FrankRuehl" w:cs="FrankRuehl" w:hint="cs"/>
          <w:sz w:val="28"/>
          <w:szCs w:val="28"/>
          <w:rtl/>
        </w:rPr>
        <w:t xml:space="preserve">חוק איסור לשון הרע, </w:t>
      </w:r>
      <w:r w:rsidR="00AF05CE" w:rsidRPr="00AF05CE">
        <w:rPr>
          <w:rFonts w:ascii="FrankRuehl" w:hAnsi="FrankRuehl" w:cs="FrankRuehl" w:hint="cs"/>
          <w:sz w:val="28"/>
          <w:szCs w:val="28"/>
          <w:rtl/>
        </w:rPr>
        <w:t>התשכ"ה-1965</w:t>
      </w:r>
      <w:r w:rsidR="00E310BE">
        <w:rPr>
          <w:rFonts w:ascii="FrankRuehl" w:hAnsi="FrankRuehl" w:cs="FrankRuehl" w:hint="cs"/>
          <w:sz w:val="28"/>
          <w:szCs w:val="28"/>
          <w:rtl/>
        </w:rPr>
        <w:t xml:space="preserve"> אל תחולתו של חוק </w:t>
      </w:r>
      <w:r>
        <w:rPr>
          <w:rFonts w:ascii="FrankRuehl" w:hAnsi="FrankRuehl" w:cs="FrankRuehl" w:hint="cs"/>
          <w:sz w:val="28"/>
          <w:szCs w:val="28"/>
          <w:rtl/>
        </w:rPr>
        <w:t>מניעת הטרדה מאיימת, התשס"ב-2001.</w:t>
      </w:r>
      <w:r w:rsidR="007A7023">
        <w:rPr>
          <w:rFonts w:ascii="FrankRuehl" w:hAnsi="FrankRuehl" w:cs="FrankRuehl" w:hint="cs"/>
          <w:sz w:val="28"/>
          <w:szCs w:val="28"/>
          <w:rtl/>
        </w:rPr>
        <w:t xml:space="preserve"> </w:t>
      </w:r>
    </w:p>
    <w:p w:rsidR="00E310BE" w:rsidRDefault="00E310BE" w:rsidP="00E310BE">
      <w:pPr>
        <w:pStyle w:val="af"/>
        <w:rPr>
          <w:rFonts w:ascii="FrankRuehl" w:hAnsi="FrankRuehl" w:cs="FrankRuehl"/>
          <w:sz w:val="28"/>
          <w:szCs w:val="28"/>
          <w:rtl/>
        </w:rPr>
      </w:pPr>
    </w:p>
    <w:p w:rsidR="005A5868" w:rsidRPr="00E310BE" w:rsidRDefault="005A5868" w:rsidP="00E310BE">
      <w:pPr>
        <w:pStyle w:val="af"/>
        <w:rPr>
          <w:rFonts w:ascii="FrankRuehl" w:hAnsi="FrankRuehl" w:cs="FrankRuehl"/>
          <w:sz w:val="28"/>
          <w:szCs w:val="28"/>
          <w:rtl/>
        </w:rPr>
      </w:pPr>
    </w:p>
    <w:p w:rsidR="007A7023" w:rsidRDefault="007A7023" w:rsidP="00E310BE">
      <w:pPr>
        <w:pStyle w:val="af"/>
        <w:spacing w:line="360" w:lineRule="auto"/>
        <w:ind w:left="360"/>
        <w:jc w:val="both"/>
        <w:rPr>
          <w:rFonts w:ascii="FrankRuehl" w:hAnsi="FrankRuehl" w:cs="FrankRuehl"/>
          <w:sz w:val="28"/>
          <w:szCs w:val="28"/>
          <w:rtl/>
        </w:rPr>
      </w:pPr>
      <w:r w:rsidRPr="007A7023">
        <w:rPr>
          <w:rFonts w:ascii="FrankRuehl" w:hAnsi="FrankRuehl" w:cs="FrankRuehl" w:hint="cs"/>
          <w:sz w:val="28"/>
          <w:szCs w:val="28"/>
          <w:rtl/>
        </w:rPr>
        <w:lastRenderedPageBreak/>
        <w:t xml:space="preserve">מרכז הכובד עובר מהפרסום ותוכנו למידת האינטנסיביות </w:t>
      </w:r>
      <w:r>
        <w:rPr>
          <w:rFonts w:ascii="FrankRuehl" w:hAnsi="FrankRuehl" w:cs="FrankRuehl" w:hint="cs"/>
          <w:sz w:val="28"/>
          <w:szCs w:val="28"/>
          <w:rtl/>
        </w:rPr>
        <w:t>והחזרה על פרסומים, בתדירות וב</w:t>
      </w:r>
      <w:r w:rsidRPr="007A7023">
        <w:rPr>
          <w:rFonts w:ascii="FrankRuehl" w:hAnsi="FrankRuehl" w:cs="FrankRuehl" w:hint="cs"/>
          <w:sz w:val="28"/>
          <w:szCs w:val="28"/>
          <w:rtl/>
        </w:rPr>
        <w:t>א</w:t>
      </w:r>
      <w:r w:rsidR="00982696">
        <w:rPr>
          <w:rFonts w:ascii="FrankRuehl" w:hAnsi="FrankRuehl" w:cs="FrankRuehl" w:hint="cs"/>
          <w:sz w:val="28"/>
          <w:szCs w:val="28"/>
          <w:rtl/>
        </w:rPr>
        <w:t>מ</w:t>
      </w:r>
      <w:r w:rsidRPr="007A7023">
        <w:rPr>
          <w:rFonts w:ascii="FrankRuehl" w:hAnsi="FrankRuehl" w:cs="FrankRuehl" w:hint="cs"/>
          <w:sz w:val="28"/>
          <w:szCs w:val="28"/>
          <w:rtl/>
        </w:rPr>
        <w:t xml:space="preserve">צעים שונים. </w:t>
      </w:r>
      <w:r>
        <w:rPr>
          <w:rFonts w:ascii="FrankRuehl" w:hAnsi="FrankRuehl" w:cs="FrankRuehl" w:hint="cs"/>
          <w:sz w:val="28"/>
          <w:szCs w:val="28"/>
          <w:rtl/>
        </w:rPr>
        <w:t xml:space="preserve">ראו </w:t>
      </w:r>
      <w:r w:rsidRPr="003C5DB5">
        <w:rPr>
          <w:rFonts w:ascii="FrankRuehl" w:hAnsi="FrankRuehl" w:cs="FrankRuehl" w:hint="cs"/>
          <w:sz w:val="28"/>
          <w:szCs w:val="28"/>
          <w:rtl/>
        </w:rPr>
        <w:t xml:space="preserve">ה"ט 73665-12-20 </w:t>
      </w:r>
      <w:r w:rsidRPr="003C5DB5">
        <w:rPr>
          <w:rFonts w:ascii="FrankRuehl" w:hAnsi="FrankRuehl" w:cs="FrankRuehl" w:hint="cs"/>
          <w:b/>
          <w:bCs/>
          <w:sz w:val="28"/>
          <w:szCs w:val="28"/>
          <w:rtl/>
        </w:rPr>
        <w:t>גלובל קורייר אקספרס בע"מ נ' דרורי</w:t>
      </w:r>
      <w:r w:rsidR="00AF05CE">
        <w:rPr>
          <w:rFonts w:ascii="FrankRuehl" w:hAnsi="FrankRuehl" w:cs="FrankRuehl" w:hint="cs"/>
          <w:sz w:val="28"/>
          <w:szCs w:val="28"/>
          <w:rtl/>
        </w:rPr>
        <w:t>, מיום 17.1.2021</w:t>
      </w:r>
      <w:r w:rsidR="00982696">
        <w:rPr>
          <w:rFonts w:ascii="FrankRuehl" w:hAnsi="FrankRuehl" w:cs="FrankRuehl" w:hint="cs"/>
          <w:sz w:val="28"/>
          <w:szCs w:val="28"/>
          <w:rtl/>
        </w:rPr>
        <w:t>;</w:t>
      </w:r>
      <w:r w:rsidR="003B2586">
        <w:rPr>
          <w:rFonts w:ascii="FrankRuehl" w:hAnsi="FrankRuehl" w:cs="FrankRuehl" w:hint="cs"/>
          <w:sz w:val="28"/>
          <w:szCs w:val="28"/>
          <w:rtl/>
        </w:rPr>
        <w:t xml:space="preserve"> </w:t>
      </w:r>
      <w:r w:rsidR="00982696">
        <w:rPr>
          <w:rFonts w:ascii="FrankRuehl" w:hAnsi="FrankRuehl" w:cs="FrankRuehl" w:hint="cs"/>
          <w:sz w:val="28"/>
          <w:szCs w:val="28"/>
          <w:rtl/>
        </w:rPr>
        <w:t xml:space="preserve">ע"א 6861/22 </w:t>
      </w:r>
      <w:r w:rsidR="00982696">
        <w:rPr>
          <w:rFonts w:ascii="FrankRuehl" w:hAnsi="FrankRuehl" w:cs="FrankRuehl" w:hint="cs"/>
          <w:b/>
          <w:bCs/>
          <w:sz w:val="28"/>
          <w:szCs w:val="28"/>
          <w:rtl/>
        </w:rPr>
        <w:t>יוספה ברק טמיר נ' ד"ר שרון אלרעי פרייס</w:t>
      </w:r>
      <w:r w:rsidR="00982696">
        <w:rPr>
          <w:rFonts w:ascii="FrankRuehl" w:hAnsi="FrankRuehl" w:cs="FrankRuehl" w:hint="cs"/>
          <w:sz w:val="28"/>
          <w:szCs w:val="28"/>
          <w:rtl/>
        </w:rPr>
        <w:t xml:space="preserve"> סעיף 11 לפסה"ד מיום 31.102022.</w:t>
      </w:r>
      <w:r w:rsidRPr="003C5DB5">
        <w:rPr>
          <w:rFonts w:ascii="FrankRuehl" w:hAnsi="FrankRuehl" w:cs="FrankRuehl" w:hint="cs"/>
          <w:sz w:val="28"/>
          <w:szCs w:val="28"/>
          <w:rtl/>
        </w:rPr>
        <w:t xml:space="preserve"> </w:t>
      </w:r>
    </w:p>
    <w:p w:rsidR="0033495B" w:rsidRDefault="0033495B" w:rsidP="003B2586">
      <w:pPr>
        <w:pStyle w:val="af"/>
        <w:spacing w:line="360" w:lineRule="auto"/>
        <w:ind w:left="360"/>
        <w:jc w:val="both"/>
        <w:rPr>
          <w:rFonts w:ascii="FrankRuehl" w:hAnsi="FrankRuehl" w:cs="FrankRuehl"/>
          <w:sz w:val="28"/>
          <w:szCs w:val="28"/>
          <w:rtl/>
        </w:rPr>
      </w:pPr>
    </w:p>
    <w:p w:rsidR="00E310BE" w:rsidRDefault="007A7023" w:rsidP="00CD6707">
      <w:pPr>
        <w:pStyle w:val="af"/>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המבקשת צירפה העתק פרסומים</w:t>
      </w:r>
      <w:r w:rsidR="00D466A1">
        <w:rPr>
          <w:rFonts w:ascii="FrankRuehl" w:hAnsi="FrankRuehl" w:cs="FrankRuehl" w:hint="cs"/>
          <w:sz w:val="28"/>
          <w:szCs w:val="28"/>
          <w:rtl/>
        </w:rPr>
        <w:t xml:space="preserve"> שנכתבו בקבוצת ו</w:t>
      </w:r>
      <w:r w:rsidR="00E310BE">
        <w:rPr>
          <w:rFonts w:ascii="FrankRuehl" w:hAnsi="FrankRuehl" w:cs="FrankRuehl" w:hint="cs"/>
          <w:sz w:val="28"/>
          <w:szCs w:val="28"/>
          <w:rtl/>
        </w:rPr>
        <w:t>ב</w:t>
      </w:r>
      <w:r w:rsidR="00D466A1">
        <w:rPr>
          <w:rFonts w:ascii="FrankRuehl" w:hAnsi="FrankRuehl" w:cs="FrankRuehl" w:hint="cs"/>
          <w:sz w:val="28"/>
          <w:szCs w:val="28"/>
          <w:rtl/>
        </w:rPr>
        <w:t xml:space="preserve">ערוץ הטלגרם שמנהל המשיב. </w:t>
      </w:r>
    </w:p>
    <w:p w:rsidR="00D466A1" w:rsidRDefault="007A7023" w:rsidP="00013BFC">
      <w:pPr>
        <w:pStyle w:val="af"/>
        <w:spacing w:line="360" w:lineRule="auto"/>
        <w:ind w:left="360"/>
        <w:jc w:val="both"/>
        <w:rPr>
          <w:rFonts w:ascii="FrankRuehl" w:hAnsi="FrankRuehl" w:cs="FrankRuehl"/>
          <w:sz w:val="28"/>
          <w:szCs w:val="28"/>
        </w:rPr>
      </w:pPr>
      <w:r>
        <w:rPr>
          <w:rFonts w:ascii="FrankRuehl" w:hAnsi="FrankRuehl" w:cs="FrankRuehl" w:hint="cs"/>
          <w:sz w:val="28"/>
          <w:szCs w:val="28"/>
          <w:rtl/>
        </w:rPr>
        <w:t xml:space="preserve">פרסומים </w:t>
      </w:r>
      <w:r w:rsidR="00D466A1">
        <w:rPr>
          <w:rFonts w:ascii="FrankRuehl" w:hAnsi="FrankRuehl" w:cs="FrankRuehl" w:hint="cs"/>
          <w:sz w:val="28"/>
          <w:szCs w:val="28"/>
          <w:rtl/>
        </w:rPr>
        <w:t xml:space="preserve">אלו </w:t>
      </w:r>
      <w:r>
        <w:rPr>
          <w:rFonts w:ascii="FrankRuehl" w:hAnsi="FrankRuehl" w:cs="FrankRuehl" w:hint="cs"/>
          <w:sz w:val="28"/>
          <w:szCs w:val="28"/>
          <w:rtl/>
        </w:rPr>
        <w:t xml:space="preserve">כוללים פרטים אישים על משפחתה, כגון שם ושנת לידת אימה, שם ושנת לידת אחותה, סבא וסבתא, פרטים אודות רצח לכאורי של סבא, </w:t>
      </w:r>
      <w:r w:rsidR="00E310BE">
        <w:rPr>
          <w:rFonts w:ascii="FrankRuehl" w:hAnsi="FrankRuehl" w:cs="FrankRuehl" w:hint="cs"/>
          <w:sz w:val="28"/>
          <w:szCs w:val="28"/>
          <w:rtl/>
        </w:rPr>
        <w:t>קטעים או הפניות ל</w:t>
      </w:r>
      <w:r>
        <w:rPr>
          <w:rFonts w:ascii="FrankRuehl" w:hAnsi="FrankRuehl" w:cs="FrankRuehl" w:hint="cs"/>
          <w:sz w:val="28"/>
          <w:szCs w:val="28"/>
          <w:rtl/>
        </w:rPr>
        <w:t xml:space="preserve">ספר שכתב בן זוג אחר של התובעת, </w:t>
      </w:r>
      <w:r w:rsidR="00E310BE">
        <w:rPr>
          <w:rFonts w:ascii="FrankRuehl" w:hAnsi="FrankRuehl" w:cs="FrankRuehl" w:hint="cs"/>
          <w:sz w:val="28"/>
          <w:szCs w:val="28"/>
          <w:rtl/>
        </w:rPr>
        <w:t xml:space="preserve">ושנטען כי מתוארת שם </w:t>
      </w:r>
      <w:r>
        <w:rPr>
          <w:rFonts w:ascii="FrankRuehl" w:hAnsi="FrankRuehl" w:cs="FrankRuehl" w:hint="cs"/>
          <w:sz w:val="28"/>
          <w:szCs w:val="28"/>
          <w:rtl/>
        </w:rPr>
        <w:t>היסטוריה משפחתית</w:t>
      </w:r>
      <w:r w:rsidR="00E310BE">
        <w:rPr>
          <w:rFonts w:ascii="FrankRuehl" w:hAnsi="FrankRuehl" w:cs="FrankRuehl" w:hint="cs"/>
          <w:sz w:val="28"/>
          <w:szCs w:val="28"/>
          <w:rtl/>
        </w:rPr>
        <w:t xml:space="preserve"> של המבקשת, המשיב </w:t>
      </w:r>
      <w:r w:rsidR="00013BFC">
        <w:rPr>
          <w:rFonts w:ascii="FrankRuehl" w:hAnsi="FrankRuehl" w:cs="FrankRuehl" w:hint="cs"/>
          <w:sz w:val="28"/>
          <w:szCs w:val="28"/>
          <w:rtl/>
        </w:rPr>
        <w:t xml:space="preserve">ביקש לאתר </w:t>
      </w:r>
      <w:r>
        <w:rPr>
          <w:rFonts w:ascii="FrankRuehl" w:hAnsi="FrankRuehl" w:cs="FrankRuehl" w:hint="cs"/>
          <w:sz w:val="28"/>
          <w:szCs w:val="28"/>
          <w:rtl/>
        </w:rPr>
        <w:t xml:space="preserve">אנשים שמכירים/הכירו את המבקשת, </w:t>
      </w:r>
      <w:r w:rsidR="00013BFC">
        <w:rPr>
          <w:rFonts w:ascii="FrankRuehl" w:hAnsi="FrankRuehl" w:cs="FrankRuehl" w:hint="cs"/>
          <w:sz w:val="28"/>
          <w:szCs w:val="28"/>
          <w:rtl/>
        </w:rPr>
        <w:t xml:space="preserve">פירסם </w:t>
      </w:r>
      <w:r>
        <w:rPr>
          <w:rFonts w:ascii="FrankRuehl" w:hAnsi="FrankRuehl" w:cs="FrankRuehl" w:hint="cs"/>
          <w:sz w:val="28"/>
          <w:szCs w:val="28"/>
          <w:rtl/>
        </w:rPr>
        <w:t>תמונות מילדותה, ברכות ששלחו/כתבו זה לזה,</w:t>
      </w:r>
      <w:r w:rsidR="00013BFC">
        <w:rPr>
          <w:rFonts w:ascii="FrankRuehl" w:hAnsi="FrankRuehl" w:cs="FrankRuehl" w:hint="cs"/>
          <w:sz w:val="28"/>
          <w:szCs w:val="28"/>
          <w:rtl/>
        </w:rPr>
        <w:t xml:space="preserve"> </w:t>
      </w:r>
      <w:r>
        <w:rPr>
          <w:rFonts w:ascii="FrankRuehl" w:hAnsi="FrankRuehl" w:cs="FrankRuehl" w:hint="cs"/>
          <w:sz w:val="28"/>
          <w:szCs w:val="28"/>
          <w:rtl/>
        </w:rPr>
        <w:t xml:space="preserve">העתקי </w:t>
      </w:r>
      <w:r w:rsidR="00013BFC">
        <w:rPr>
          <w:rFonts w:ascii="FrankRuehl" w:hAnsi="FrankRuehl" w:cs="FrankRuehl" w:hint="cs"/>
          <w:sz w:val="28"/>
          <w:szCs w:val="28"/>
          <w:rtl/>
        </w:rPr>
        <w:t xml:space="preserve">תכתובת </w:t>
      </w:r>
      <w:r>
        <w:rPr>
          <w:rFonts w:ascii="FrankRuehl" w:hAnsi="FrankRuehl" w:cs="FrankRuehl" w:hint="cs"/>
          <w:sz w:val="28"/>
          <w:szCs w:val="28"/>
          <w:rtl/>
        </w:rPr>
        <w:t>או דוא"ל או יומן שכתב</w:t>
      </w:r>
      <w:r w:rsidR="00013BFC">
        <w:rPr>
          <w:rFonts w:ascii="FrankRuehl" w:hAnsi="FrankRuehl" w:cs="FrankRuehl" w:hint="cs"/>
          <w:sz w:val="28"/>
          <w:szCs w:val="28"/>
          <w:rtl/>
        </w:rPr>
        <w:t xml:space="preserve">ו ועוד. </w:t>
      </w:r>
      <w:r w:rsidR="00D466A1">
        <w:rPr>
          <w:rFonts w:ascii="FrankRuehl" w:hAnsi="FrankRuehl" w:cs="FrankRuehl" w:hint="cs"/>
          <w:sz w:val="28"/>
          <w:szCs w:val="28"/>
          <w:rtl/>
        </w:rPr>
        <w:t xml:space="preserve">ראו </w:t>
      </w:r>
      <w:r>
        <w:rPr>
          <w:rFonts w:ascii="FrankRuehl" w:hAnsi="FrankRuehl" w:cs="FrankRuehl" w:hint="cs"/>
          <w:sz w:val="28"/>
          <w:szCs w:val="28"/>
          <w:rtl/>
        </w:rPr>
        <w:t xml:space="preserve">עמודים 20-43 לתובענה. </w:t>
      </w:r>
    </w:p>
    <w:p w:rsidR="00CD6707" w:rsidRDefault="00CD6707" w:rsidP="00CD6707">
      <w:pPr>
        <w:pStyle w:val="af"/>
        <w:spacing w:line="360" w:lineRule="auto"/>
        <w:ind w:left="360"/>
        <w:jc w:val="both"/>
        <w:rPr>
          <w:rFonts w:ascii="FrankRuehl" w:hAnsi="FrankRuehl" w:cs="FrankRuehl"/>
          <w:sz w:val="28"/>
          <w:szCs w:val="28"/>
        </w:rPr>
      </w:pPr>
    </w:p>
    <w:p w:rsidR="005A5868" w:rsidRDefault="00CD6707" w:rsidP="001058ED">
      <w:pPr>
        <w:pStyle w:val="af"/>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המשיב מאשר, </w:t>
      </w:r>
      <w:r w:rsidR="00AF05CE">
        <w:rPr>
          <w:rFonts w:ascii="FrankRuehl" w:hAnsi="FrankRuehl" w:cs="FrankRuehl" w:hint="cs"/>
          <w:sz w:val="28"/>
          <w:szCs w:val="28"/>
          <w:rtl/>
        </w:rPr>
        <w:t xml:space="preserve">בסעיף 26 לתשובתו לתובענה </w:t>
      </w:r>
      <w:r>
        <w:rPr>
          <w:rFonts w:ascii="FrankRuehl" w:hAnsi="FrankRuehl" w:cs="FrankRuehl" w:hint="cs"/>
          <w:sz w:val="28"/>
          <w:szCs w:val="28"/>
          <w:rtl/>
        </w:rPr>
        <w:t>כ</w:t>
      </w:r>
      <w:r w:rsidR="00AF05CE">
        <w:rPr>
          <w:rFonts w:ascii="FrankRuehl" w:hAnsi="FrankRuehl" w:cs="FrankRuehl" w:hint="cs"/>
          <w:sz w:val="28"/>
          <w:szCs w:val="28"/>
          <w:rtl/>
        </w:rPr>
        <w:t>י</w:t>
      </w:r>
      <w:r>
        <w:rPr>
          <w:rFonts w:ascii="FrankRuehl" w:hAnsi="FrankRuehl" w:cs="FrankRuehl" w:hint="cs"/>
          <w:sz w:val="28"/>
          <w:szCs w:val="28"/>
          <w:rtl/>
        </w:rPr>
        <w:t xml:space="preserve"> הטריד את המבקשת בעבר. </w:t>
      </w:r>
    </w:p>
    <w:p w:rsidR="005A5868" w:rsidRDefault="005A5868" w:rsidP="005A5868">
      <w:pPr>
        <w:pStyle w:val="af"/>
        <w:spacing w:line="360" w:lineRule="auto"/>
        <w:ind w:left="360"/>
        <w:jc w:val="both"/>
        <w:rPr>
          <w:rFonts w:ascii="FrankRuehl" w:hAnsi="FrankRuehl" w:cs="FrankRuehl"/>
          <w:sz w:val="28"/>
          <w:szCs w:val="28"/>
          <w:rtl/>
        </w:rPr>
      </w:pPr>
    </w:p>
    <w:p w:rsidR="00AF05CE" w:rsidRPr="00AF05CE" w:rsidRDefault="00CD6707" w:rsidP="005A5868">
      <w:pPr>
        <w:pStyle w:val="af"/>
        <w:spacing w:line="360" w:lineRule="auto"/>
        <w:ind w:left="360"/>
        <w:jc w:val="both"/>
        <w:rPr>
          <w:rFonts w:ascii="FrankRuehl" w:hAnsi="FrankRuehl" w:cs="FrankRuehl"/>
          <w:sz w:val="28"/>
          <w:szCs w:val="28"/>
        </w:rPr>
      </w:pPr>
      <w:r>
        <w:rPr>
          <w:rFonts w:ascii="FrankRuehl" w:hAnsi="FrankRuehl" w:cs="FrankRuehl" w:hint="cs"/>
          <w:sz w:val="28"/>
          <w:szCs w:val="28"/>
          <w:rtl/>
        </w:rPr>
        <w:t xml:space="preserve">וכך הוא כותב שם: </w:t>
      </w:r>
      <w:r w:rsidRPr="00876DF3">
        <w:rPr>
          <w:rFonts w:ascii="Miriam" w:hAnsi="Miriam" w:cs="Miriam"/>
          <w:rtl/>
        </w:rPr>
        <w:t>המשיב אינו מכחיש כי בעבר בוצעו אי-אילו מעשיו אשר נחשבים, כלשונם בחוק 'הטרדה מאיימת' אך המשיב שולל מכול וכול שכך הדבר</w:t>
      </w:r>
      <w:r w:rsidR="001058ED">
        <w:rPr>
          <w:rFonts w:ascii="Miriam" w:hAnsi="Miriam" w:cs="Miriam" w:hint="cs"/>
          <w:rtl/>
        </w:rPr>
        <w:t xml:space="preserve"> הוא</w:t>
      </w:r>
      <w:r w:rsidRPr="00876DF3">
        <w:rPr>
          <w:rFonts w:ascii="Miriam" w:hAnsi="Miriam" w:cs="Miriam"/>
          <w:rtl/>
        </w:rPr>
        <w:t xml:space="preserve"> כיום ושקיימת איזושהי הצדקה כי המשיב ישוב ויטריד את המבקשת </w:t>
      </w:r>
      <w:r w:rsidR="001058ED">
        <w:rPr>
          <w:rFonts w:ascii="Miriam" w:hAnsi="Miriam" w:cs="Miriam" w:hint="cs"/>
          <w:rtl/>
        </w:rPr>
        <w:t>כפי</w:t>
      </w:r>
      <w:r w:rsidRPr="00876DF3">
        <w:rPr>
          <w:rFonts w:ascii="Miriam" w:hAnsi="Miriam" w:cs="Miriam"/>
          <w:rtl/>
        </w:rPr>
        <w:t xml:space="preserve"> שקרה בעבר מאחר ולמש</w:t>
      </w:r>
      <w:r w:rsidR="001058ED">
        <w:rPr>
          <w:rFonts w:ascii="Miriam" w:hAnsi="Miriam" w:cs="Miriam"/>
          <w:rtl/>
        </w:rPr>
        <w:t>יב אין כול רצון אחר חוץ מאשר לה</w:t>
      </w:r>
      <w:r w:rsidRPr="00876DF3">
        <w:rPr>
          <w:rFonts w:ascii="Miriam" w:hAnsi="Miriam" w:cs="Miriam"/>
          <w:rtl/>
        </w:rPr>
        <w:t>ת</w:t>
      </w:r>
      <w:r w:rsidR="001058ED">
        <w:rPr>
          <w:rFonts w:ascii="Miriam" w:hAnsi="Miriam" w:cs="Miriam" w:hint="cs"/>
          <w:rtl/>
        </w:rPr>
        <w:t>נ</w:t>
      </w:r>
      <w:r w:rsidRPr="00876DF3">
        <w:rPr>
          <w:rFonts w:ascii="Miriam" w:hAnsi="Miriam" w:cs="Miriam"/>
          <w:rtl/>
        </w:rPr>
        <w:t>תק מכול דבר אשר עלול אפילו להזכיר את המבקשת; ברם לאור קיומו של הליך פלילי בפרשת הרצח, וכן לאור שלל הפירסומים שמבצעת המבקשת בעצמה ו/או אחרים בגינה, למשיב אין אלא להמשיך ולעסוק בהבאת גרסתו באופו הנקי ביותר שניתן"</w:t>
      </w:r>
      <w:r>
        <w:rPr>
          <w:rFonts w:ascii="FrankRuehl" w:hAnsi="FrankRuehl" w:cs="FrankRuehl" w:hint="cs"/>
          <w:sz w:val="28"/>
          <w:szCs w:val="28"/>
          <w:rtl/>
        </w:rPr>
        <w:t xml:space="preserve">. </w:t>
      </w:r>
      <w:r w:rsidR="00AF05CE" w:rsidRPr="00AF05CE">
        <w:rPr>
          <w:rFonts w:ascii="FrankRuehl" w:hAnsi="FrankRuehl" w:cs="FrankRuehl" w:hint="cs"/>
          <w:sz w:val="28"/>
          <w:szCs w:val="28"/>
          <w:rtl/>
        </w:rPr>
        <w:t>המשיב אינו מתייחס לפירסומים דווקא ולא נשאל על אמירה זו בחקירתו.</w:t>
      </w:r>
    </w:p>
    <w:p w:rsidR="00CD6707" w:rsidRPr="00CD6707" w:rsidRDefault="00CD6707" w:rsidP="00CD6707">
      <w:pPr>
        <w:pStyle w:val="af"/>
        <w:rPr>
          <w:rFonts w:ascii="FrankRuehl" w:hAnsi="FrankRuehl" w:cs="FrankRuehl"/>
          <w:sz w:val="28"/>
          <w:szCs w:val="28"/>
          <w:rtl/>
        </w:rPr>
      </w:pPr>
    </w:p>
    <w:p w:rsidR="005A5868" w:rsidRPr="005A5868" w:rsidRDefault="00CD6707" w:rsidP="00013BFC">
      <w:pPr>
        <w:pStyle w:val="af"/>
        <w:numPr>
          <w:ilvl w:val="0"/>
          <w:numId w:val="1"/>
        </w:numPr>
        <w:spacing w:line="360" w:lineRule="auto"/>
        <w:jc w:val="both"/>
        <w:rPr>
          <w:rFonts w:ascii="FrankRuehl" w:hAnsi="FrankRuehl" w:cs="FrankRuehl"/>
          <w:sz w:val="28"/>
          <w:szCs w:val="28"/>
        </w:rPr>
      </w:pPr>
      <w:r w:rsidRPr="00013BFC">
        <w:rPr>
          <w:rFonts w:ascii="FrankRuehl" w:hAnsi="FrankRuehl" w:cs="FrankRuehl" w:hint="cs"/>
          <w:b/>
          <w:bCs/>
          <w:sz w:val="28"/>
          <w:szCs w:val="28"/>
          <w:u w:val="single"/>
          <w:rtl/>
        </w:rPr>
        <w:t>אלא ש</w:t>
      </w:r>
      <w:r w:rsidR="00D466A1" w:rsidRPr="00013BFC">
        <w:rPr>
          <w:rFonts w:ascii="FrankRuehl" w:hAnsi="FrankRuehl" w:cs="FrankRuehl" w:hint="cs"/>
          <w:b/>
          <w:bCs/>
          <w:sz w:val="28"/>
          <w:szCs w:val="28"/>
          <w:u w:val="single"/>
          <w:rtl/>
        </w:rPr>
        <w:t>המבקשת לא ציינה את מועד הפרסומים</w:t>
      </w:r>
      <w:r w:rsidR="00D466A1" w:rsidRPr="0033495B">
        <w:rPr>
          <w:rFonts w:ascii="FrankRuehl" w:hAnsi="FrankRuehl" w:cs="FrankRuehl" w:hint="cs"/>
          <w:b/>
          <w:bCs/>
          <w:sz w:val="28"/>
          <w:szCs w:val="28"/>
          <w:rtl/>
        </w:rPr>
        <w:t xml:space="preserve">. </w:t>
      </w:r>
    </w:p>
    <w:p w:rsidR="005A5868" w:rsidRPr="005A5868" w:rsidRDefault="005A5868" w:rsidP="005A5868">
      <w:pPr>
        <w:pStyle w:val="af"/>
        <w:rPr>
          <w:rFonts w:ascii="FrankRuehl" w:hAnsi="FrankRuehl" w:cs="FrankRuehl"/>
          <w:b/>
          <w:bCs/>
          <w:sz w:val="28"/>
          <w:szCs w:val="28"/>
          <w:rtl/>
        </w:rPr>
      </w:pPr>
    </w:p>
    <w:p w:rsidR="00CD6707" w:rsidRPr="00CD6707" w:rsidRDefault="00D466A1" w:rsidP="005A5868">
      <w:pPr>
        <w:pStyle w:val="af"/>
        <w:spacing w:line="360" w:lineRule="auto"/>
        <w:ind w:left="360"/>
        <w:jc w:val="both"/>
        <w:rPr>
          <w:rFonts w:ascii="FrankRuehl" w:hAnsi="FrankRuehl" w:cs="FrankRuehl"/>
          <w:sz w:val="28"/>
          <w:szCs w:val="28"/>
        </w:rPr>
      </w:pPr>
      <w:r w:rsidRPr="0033495B">
        <w:rPr>
          <w:rFonts w:ascii="FrankRuehl" w:hAnsi="FrankRuehl" w:cs="FrankRuehl" w:hint="cs"/>
          <w:b/>
          <w:bCs/>
          <w:sz w:val="28"/>
          <w:szCs w:val="28"/>
          <w:rtl/>
        </w:rPr>
        <w:t>מתוכן הפרסומים עולה כי נעשו בשנת 2021 או קודם לכן</w:t>
      </w:r>
      <w:r w:rsidR="00013BFC">
        <w:rPr>
          <w:rFonts w:ascii="FrankRuehl" w:hAnsi="FrankRuehl" w:cs="FrankRuehl" w:hint="cs"/>
          <w:b/>
          <w:bCs/>
          <w:sz w:val="28"/>
          <w:szCs w:val="28"/>
          <w:rtl/>
        </w:rPr>
        <w:t xml:space="preserve">. </w:t>
      </w:r>
      <w:r>
        <w:rPr>
          <w:rFonts w:ascii="FrankRuehl" w:hAnsi="FrankRuehl" w:cs="FrankRuehl" w:hint="cs"/>
          <w:b/>
          <w:bCs/>
          <w:sz w:val="28"/>
          <w:szCs w:val="28"/>
          <w:rtl/>
        </w:rPr>
        <w:t>המבקשת לא הצביע</w:t>
      </w:r>
      <w:r w:rsidR="009622D6">
        <w:rPr>
          <w:rFonts w:ascii="FrankRuehl" w:hAnsi="FrankRuehl" w:cs="FrankRuehl" w:hint="cs"/>
          <w:b/>
          <w:bCs/>
          <w:sz w:val="28"/>
          <w:szCs w:val="28"/>
          <w:rtl/>
        </w:rPr>
        <w:t>ה</w:t>
      </w:r>
      <w:r>
        <w:rPr>
          <w:rFonts w:ascii="FrankRuehl" w:hAnsi="FrankRuehl" w:cs="FrankRuehl" w:hint="cs"/>
          <w:b/>
          <w:bCs/>
          <w:sz w:val="28"/>
          <w:szCs w:val="28"/>
          <w:rtl/>
        </w:rPr>
        <w:t xml:space="preserve"> על פרסומים שנעשו סמוך להגשת התובענה. </w:t>
      </w:r>
    </w:p>
    <w:p w:rsidR="00CD6707" w:rsidRDefault="00CD6707" w:rsidP="00CD6707">
      <w:pPr>
        <w:pStyle w:val="af"/>
        <w:rPr>
          <w:rFonts w:ascii="FrankRuehl" w:hAnsi="FrankRuehl" w:cs="FrankRuehl"/>
          <w:sz w:val="28"/>
          <w:szCs w:val="28"/>
          <w:rtl/>
        </w:rPr>
      </w:pPr>
    </w:p>
    <w:p w:rsidR="00013BFC" w:rsidRDefault="00013BFC" w:rsidP="00CD6707">
      <w:pPr>
        <w:pStyle w:val="af"/>
        <w:rPr>
          <w:rFonts w:ascii="FrankRuehl" w:hAnsi="FrankRuehl" w:cs="FrankRuehl"/>
          <w:sz w:val="28"/>
          <w:szCs w:val="28"/>
          <w:rtl/>
        </w:rPr>
      </w:pPr>
    </w:p>
    <w:p w:rsidR="00CD6707" w:rsidRDefault="00CD6707" w:rsidP="00CD6707">
      <w:pPr>
        <w:pStyle w:val="af"/>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גם הסרטונים שצורפו (קישורים לסרטונים פורטו בעמוד 45 לתובענה) בהם המשיב התראיין, פורסמו חודשים רבים טרם הגשת התובענה ולא הועלו על ידי המשיב</w:t>
      </w:r>
      <w:r w:rsidR="009622D6">
        <w:rPr>
          <w:rFonts w:ascii="FrankRuehl" w:hAnsi="FrankRuehl" w:cs="FrankRuehl" w:hint="cs"/>
          <w:sz w:val="28"/>
          <w:szCs w:val="28"/>
          <w:rtl/>
        </w:rPr>
        <w:t>,</w:t>
      </w:r>
      <w:r>
        <w:rPr>
          <w:rFonts w:ascii="FrankRuehl" w:hAnsi="FrankRuehl" w:cs="FrankRuehl" w:hint="cs"/>
          <w:sz w:val="28"/>
          <w:szCs w:val="28"/>
          <w:rtl/>
        </w:rPr>
        <w:t xml:space="preserve"> אלא הועלו בערוץ יוטיוב של צד ג' בשם דניאל עמרם. </w:t>
      </w:r>
    </w:p>
    <w:p w:rsidR="0060632C" w:rsidRDefault="0060632C" w:rsidP="0060632C">
      <w:pPr>
        <w:pStyle w:val="af"/>
        <w:rPr>
          <w:rFonts w:ascii="FrankRuehl" w:hAnsi="FrankRuehl" w:cs="FrankRuehl"/>
          <w:sz w:val="28"/>
          <w:szCs w:val="28"/>
          <w:rtl/>
        </w:rPr>
      </w:pPr>
    </w:p>
    <w:p w:rsidR="005A5868" w:rsidRDefault="005A5868" w:rsidP="0060632C">
      <w:pPr>
        <w:pStyle w:val="af"/>
        <w:rPr>
          <w:rFonts w:ascii="FrankRuehl" w:hAnsi="FrankRuehl" w:cs="FrankRuehl"/>
          <w:sz w:val="28"/>
          <w:szCs w:val="28"/>
          <w:rtl/>
        </w:rPr>
      </w:pPr>
    </w:p>
    <w:p w:rsidR="005A5868" w:rsidRPr="009622D6" w:rsidRDefault="005A5868" w:rsidP="0060632C">
      <w:pPr>
        <w:pStyle w:val="af"/>
        <w:rPr>
          <w:rFonts w:ascii="FrankRuehl" w:hAnsi="FrankRuehl" w:cs="FrankRuehl"/>
          <w:sz w:val="28"/>
          <w:szCs w:val="28"/>
          <w:rtl/>
        </w:rPr>
      </w:pPr>
    </w:p>
    <w:p w:rsidR="00207C9E" w:rsidRPr="00F37CCE" w:rsidRDefault="0060632C" w:rsidP="009622D6">
      <w:pPr>
        <w:pStyle w:val="af"/>
        <w:numPr>
          <w:ilvl w:val="0"/>
          <w:numId w:val="1"/>
        </w:numPr>
        <w:spacing w:line="360" w:lineRule="auto"/>
        <w:jc w:val="both"/>
        <w:rPr>
          <w:rFonts w:ascii="FrankRuehl" w:hAnsi="FrankRuehl" w:cs="FrankRuehl"/>
          <w:sz w:val="28"/>
          <w:szCs w:val="28"/>
        </w:rPr>
      </w:pPr>
      <w:r w:rsidRPr="00F37CCE">
        <w:rPr>
          <w:rFonts w:ascii="FrankRuehl" w:hAnsi="FrankRuehl" w:cs="FrankRuehl" w:hint="cs"/>
          <w:sz w:val="28"/>
          <w:szCs w:val="28"/>
          <w:rtl/>
        </w:rPr>
        <w:lastRenderedPageBreak/>
        <w:t>ב</w:t>
      </w:r>
      <w:r w:rsidR="00013BFC">
        <w:rPr>
          <w:rFonts w:ascii="FrankRuehl" w:hAnsi="FrankRuehl" w:cs="FrankRuehl"/>
          <w:sz w:val="28"/>
          <w:szCs w:val="28"/>
          <w:rtl/>
        </w:rPr>
        <w:t>סעיף 4</w:t>
      </w:r>
      <w:r w:rsidRPr="00F37CCE">
        <w:rPr>
          <w:rFonts w:ascii="FrankRuehl" w:hAnsi="FrankRuehl" w:cs="FrankRuehl"/>
          <w:sz w:val="28"/>
          <w:szCs w:val="28"/>
          <w:rtl/>
        </w:rPr>
        <w:t xml:space="preserve">(א) רישא לחוק מניעת הטרדה מאיימת, </w:t>
      </w:r>
      <w:r w:rsidRPr="00F37CCE">
        <w:rPr>
          <w:rFonts w:ascii="FrankRuehl" w:hAnsi="FrankRuehl" w:cs="FrankRuehl" w:hint="cs"/>
          <w:sz w:val="28"/>
          <w:szCs w:val="28"/>
          <w:rtl/>
        </w:rPr>
        <w:t xml:space="preserve">התשס"ב-2001 לא נכללת דרישת סמיכות הזמנים בין האירוע מושא התובענה להגשת התובענה והחשש. </w:t>
      </w:r>
      <w:r w:rsidRPr="00F37CCE">
        <w:rPr>
          <w:rFonts w:ascii="FrankRuehl" w:hAnsi="FrankRuehl" w:cs="FrankRuehl"/>
          <w:sz w:val="28"/>
          <w:szCs w:val="28"/>
          <w:rtl/>
        </w:rPr>
        <w:t xml:space="preserve">אך פרשנות תכליתית של </w:t>
      </w:r>
      <w:r w:rsidRPr="00F37CCE">
        <w:rPr>
          <w:rFonts w:ascii="FrankRuehl" w:hAnsi="FrankRuehl" w:cs="FrankRuehl" w:hint="cs"/>
          <w:sz w:val="28"/>
          <w:szCs w:val="28"/>
          <w:rtl/>
        </w:rPr>
        <w:t>ה</w:t>
      </w:r>
      <w:r w:rsidRPr="00F37CCE">
        <w:rPr>
          <w:rFonts w:ascii="FrankRuehl" w:hAnsi="FrankRuehl" w:cs="FrankRuehl"/>
          <w:sz w:val="28"/>
          <w:szCs w:val="28"/>
          <w:rtl/>
        </w:rPr>
        <w:t xml:space="preserve">חוק מחייבת ליתן משקל </w:t>
      </w:r>
      <w:r w:rsidRPr="00F37CCE">
        <w:rPr>
          <w:rFonts w:ascii="FrankRuehl" w:hAnsi="FrankRuehl" w:cs="FrankRuehl" w:hint="cs"/>
          <w:sz w:val="28"/>
          <w:szCs w:val="28"/>
          <w:rtl/>
        </w:rPr>
        <w:t>לעיתוי הגשת הת</w:t>
      </w:r>
      <w:r w:rsidR="00970454" w:rsidRPr="00F37CCE">
        <w:rPr>
          <w:rFonts w:ascii="FrankRuehl" w:hAnsi="FrankRuehl" w:cs="FrankRuehl" w:hint="cs"/>
          <w:sz w:val="28"/>
          <w:szCs w:val="28"/>
          <w:rtl/>
        </w:rPr>
        <w:t>ו</w:t>
      </w:r>
      <w:r w:rsidRPr="00F37CCE">
        <w:rPr>
          <w:rFonts w:ascii="FrankRuehl" w:hAnsi="FrankRuehl" w:cs="FrankRuehl" w:hint="cs"/>
          <w:sz w:val="28"/>
          <w:szCs w:val="28"/>
          <w:rtl/>
        </w:rPr>
        <w:t>בענה. תובענה שעלולה לפגוע בחר</w:t>
      </w:r>
      <w:r w:rsidR="00970454" w:rsidRPr="00F37CCE">
        <w:rPr>
          <w:rFonts w:ascii="FrankRuehl" w:hAnsi="FrankRuehl" w:cs="FrankRuehl" w:hint="cs"/>
          <w:sz w:val="28"/>
          <w:szCs w:val="28"/>
          <w:rtl/>
        </w:rPr>
        <w:t>ו</w:t>
      </w:r>
      <w:r w:rsidRPr="00F37CCE">
        <w:rPr>
          <w:rFonts w:ascii="FrankRuehl" w:hAnsi="FrankRuehl" w:cs="FrankRuehl" w:hint="cs"/>
          <w:sz w:val="28"/>
          <w:szCs w:val="28"/>
          <w:rtl/>
        </w:rPr>
        <w:t xml:space="preserve">יות הפרט. שאם לא כן, </w:t>
      </w:r>
      <w:r w:rsidRPr="00F37CCE">
        <w:rPr>
          <w:rFonts w:ascii="FrankRuehl" w:hAnsi="FrankRuehl" w:cs="FrankRuehl"/>
          <w:sz w:val="28"/>
          <w:szCs w:val="28"/>
          <w:rtl/>
        </w:rPr>
        <w:t xml:space="preserve">יוכל </w:t>
      </w:r>
      <w:r w:rsidRPr="00F37CCE">
        <w:rPr>
          <w:rFonts w:ascii="FrankRuehl" w:hAnsi="FrankRuehl" w:cs="FrankRuehl" w:hint="cs"/>
          <w:sz w:val="28"/>
          <w:szCs w:val="28"/>
          <w:rtl/>
        </w:rPr>
        <w:t xml:space="preserve">המבקש </w:t>
      </w:r>
      <w:r w:rsidRPr="00F37CCE">
        <w:rPr>
          <w:rFonts w:ascii="FrankRuehl" w:hAnsi="FrankRuehl" w:cs="FrankRuehl"/>
          <w:sz w:val="28"/>
          <w:szCs w:val="28"/>
          <w:rtl/>
        </w:rPr>
        <w:t xml:space="preserve">"לשמור בבטן" אירוע </w:t>
      </w:r>
      <w:r w:rsidRPr="00F37CCE">
        <w:rPr>
          <w:rFonts w:ascii="FrankRuehl" w:hAnsi="FrankRuehl" w:cs="FrankRuehl" w:hint="cs"/>
          <w:sz w:val="28"/>
          <w:szCs w:val="28"/>
          <w:rtl/>
        </w:rPr>
        <w:t>מהעבר ולעשות בו שימוש כנגד אותו "מטריד" זמן רב לאחר מכן. איני סבורה כי זו מטרת החוק. המטרה היא להגן על הזקוק להגנה. מי אשר לא פנה בסמיכות לאירוע הנטען, חזקה כי לא ראה באירוע הטרדה כמשמעותה בחוק הטרדה מאיימת, התשס"ב-2001</w:t>
      </w:r>
      <w:r w:rsidR="00AF05CE" w:rsidRPr="00F37CCE">
        <w:rPr>
          <w:rFonts w:ascii="FrankRuehl" w:hAnsi="FrankRuehl" w:cs="FrankRuehl" w:hint="cs"/>
          <w:sz w:val="28"/>
          <w:szCs w:val="28"/>
          <w:rtl/>
        </w:rPr>
        <w:t xml:space="preserve"> או מחל באותה עת על הפגיעה.</w:t>
      </w:r>
      <w:r w:rsidR="00207C9E" w:rsidRPr="00F37CCE">
        <w:rPr>
          <w:rFonts w:ascii="FrankRuehl" w:hAnsi="FrankRuehl" w:cs="FrankRuehl" w:hint="cs"/>
          <w:sz w:val="28"/>
          <w:szCs w:val="28"/>
          <w:rtl/>
        </w:rPr>
        <w:t xml:space="preserve"> וראו בעניין זה דברי השופט דרורי בבר"ע </w:t>
      </w:r>
      <w:r w:rsidR="00207C9E" w:rsidRPr="00F37CCE">
        <w:rPr>
          <w:rFonts w:ascii="FrankRuehl" w:hAnsi="FrankRuehl" w:cs="FrankRuehl"/>
          <w:sz w:val="28"/>
          <w:szCs w:val="28"/>
          <w:rtl/>
        </w:rPr>
        <w:t>(י-ם) 179/04</w:t>
      </w:r>
      <w:r w:rsidR="009A6EF5">
        <w:rPr>
          <w:rFonts w:ascii="FrankRuehl" w:hAnsi="FrankRuehl" w:cs="FrankRuehl" w:hint="cs"/>
          <w:sz w:val="28"/>
          <w:szCs w:val="28"/>
          <w:rtl/>
        </w:rPr>
        <w:t xml:space="preserve"> שאוזכר לעיל, </w:t>
      </w:r>
      <w:r w:rsidR="00207C9E" w:rsidRPr="00F37CCE">
        <w:rPr>
          <w:rFonts w:ascii="FrankRuehl" w:hAnsi="FrankRuehl" w:cs="FrankRuehl" w:hint="cs"/>
          <w:sz w:val="28"/>
          <w:szCs w:val="28"/>
          <w:rtl/>
        </w:rPr>
        <w:t xml:space="preserve">סעיפים 27-29 לפסה"ד מיום 10.08.2004. </w:t>
      </w:r>
    </w:p>
    <w:p w:rsidR="00AF05CE" w:rsidRPr="00AF05CE" w:rsidRDefault="00AF05CE" w:rsidP="00AF05CE">
      <w:pPr>
        <w:pStyle w:val="af"/>
        <w:rPr>
          <w:rFonts w:ascii="FrankRuehl" w:hAnsi="FrankRuehl" w:cs="FrankRuehl"/>
          <w:sz w:val="28"/>
          <w:szCs w:val="28"/>
          <w:rtl/>
        </w:rPr>
      </w:pPr>
    </w:p>
    <w:p w:rsidR="00CD6707" w:rsidRDefault="00CD6707" w:rsidP="00CD6707">
      <w:pPr>
        <w:pStyle w:val="af"/>
        <w:numPr>
          <w:ilvl w:val="0"/>
          <w:numId w:val="1"/>
        </w:numPr>
        <w:spacing w:line="360" w:lineRule="auto"/>
        <w:jc w:val="both"/>
        <w:rPr>
          <w:rFonts w:ascii="FrankRuehl" w:hAnsi="FrankRuehl" w:cs="FrankRuehl"/>
          <w:sz w:val="28"/>
          <w:szCs w:val="28"/>
        </w:rPr>
      </w:pPr>
      <w:r w:rsidRPr="00CD6707">
        <w:rPr>
          <w:rFonts w:ascii="FrankRuehl" w:hAnsi="FrankRuehl" w:cs="FrankRuehl" w:hint="cs"/>
          <w:b/>
          <w:bCs/>
          <w:sz w:val="28"/>
          <w:szCs w:val="28"/>
          <w:rtl/>
        </w:rPr>
        <w:t>ואכן, המבקשת לא הוכיחה כי המשיב המשיך ועדין פועל על מנת להטרידה ולא הוכח כי קיים חשש שימשיך לעשות כן.</w:t>
      </w:r>
    </w:p>
    <w:p w:rsidR="00AF05CE" w:rsidRPr="00AF05CE" w:rsidRDefault="00AF05CE" w:rsidP="00AF05CE">
      <w:pPr>
        <w:pStyle w:val="af"/>
        <w:rPr>
          <w:rFonts w:ascii="FrankRuehl" w:hAnsi="FrankRuehl" w:cs="FrankRuehl"/>
          <w:sz w:val="28"/>
          <w:szCs w:val="28"/>
          <w:rtl/>
        </w:rPr>
      </w:pPr>
    </w:p>
    <w:p w:rsidR="00970454" w:rsidRPr="00F37CCE" w:rsidRDefault="00AF05CE" w:rsidP="009622D6">
      <w:pPr>
        <w:pStyle w:val="af"/>
        <w:numPr>
          <w:ilvl w:val="0"/>
          <w:numId w:val="1"/>
        </w:numPr>
        <w:spacing w:line="360" w:lineRule="auto"/>
        <w:jc w:val="both"/>
        <w:rPr>
          <w:rFonts w:ascii="FrankRuehl" w:hAnsi="FrankRuehl" w:cs="FrankRuehl"/>
          <w:sz w:val="28"/>
          <w:szCs w:val="28"/>
        </w:rPr>
      </w:pPr>
      <w:r w:rsidRPr="00970454">
        <w:rPr>
          <w:rFonts w:ascii="FrankRuehl" w:hAnsi="FrankRuehl" w:cs="FrankRuehl" w:hint="cs"/>
          <w:sz w:val="28"/>
          <w:szCs w:val="28"/>
          <w:rtl/>
        </w:rPr>
        <w:t xml:space="preserve">ודוק, התנאים למתן סעד על פי חוק מניעת </w:t>
      </w:r>
      <w:r w:rsidR="009622D6">
        <w:rPr>
          <w:rFonts w:ascii="FrankRuehl" w:hAnsi="FrankRuehl" w:cs="FrankRuehl" w:hint="cs"/>
          <w:sz w:val="28"/>
          <w:szCs w:val="28"/>
          <w:rtl/>
        </w:rPr>
        <w:t>הטרדה</w:t>
      </w:r>
      <w:r w:rsidRPr="00970454">
        <w:rPr>
          <w:rFonts w:ascii="FrankRuehl" w:hAnsi="FrankRuehl" w:cs="FrankRuehl" w:hint="cs"/>
          <w:sz w:val="28"/>
          <w:szCs w:val="28"/>
          <w:rtl/>
        </w:rPr>
        <w:t xml:space="preserve"> מאיימת הם שניים; </w:t>
      </w:r>
      <w:r w:rsidRPr="00970454">
        <w:rPr>
          <w:rFonts w:ascii="FrankRuehl" w:hAnsi="FrankRuehl" w:cs="FrankRuehl"/>
          <w:sz w:val="28"/>
          <w:szCs w:val="28"/>
          <w:rtl/>
        </w:rPr>
        <w:t>אם אדם ביצע הטרדה בעבר</w:t>
      </w:r>
      <w:r w:rsidRPr="00970454">
        <w:rPr>
          <w:rFonts w:ascii="FrankRuehl" w:hAnsi="FrankRuehl" w:cs="FrankRuehl" w:hint="cs"/>
          <w:sz w:val="28"/>
          <w:szCs w:val="28"/>
          <w:rtl/>
        </w:rPr>
        <w:t xml:space="preserve"> (התנאי הראשון צופה פני עבר)  ו</w:t>
      </w:r>
      <w:r w:rsidRPr="00970454">
        <w:rPr>
          <w:rFonts w:ascii="FrankRuehl" w:hAnsi="FrankRuehl" w:cs="FrankRuehl"/>
          <w:sz w:val="28"/>
          <w:szCs w:val="28"/>
          <w:rtl/>
        </w:rPr>
        <w:t>הנסיבות נותנות בסיס סביר להניח כי אותו אדם יטריד או יאיים שוב ויפגע בשלוות חייו, בפרטיותו או בחירותו או בגופו של אותו אדם (</w:t>
      </w:r>
      <w:r w:rsidRPr="00970454">
        <w:rPr>
          <w:rFonts w:ascii="FrankRuehl" w:hAnsi="FrankRuehl" w:cs="FrankRuehl" w:hint="cs"/>
          <w:sz w:val="28"/>
          <w:szCs w:val="28"/>
          <w:rtl/>
        </w:rPr>
        <w:t xml:space="preserve">התנאי השני </w:t>
      </w:r>
      <w:r w:rsidRPr="00970454">
        <w:rPr>
          <w:rFonts w:ascii="FrankRuehl" w:hAnsi="FrankRuehl" w:cs="FrankRuehl"/>
          <w:sz w:val="28"/>
          <w:szCs w:val="28"/>
          <w:rtl/>
        </w:rPr>
        <w:t>צופה פני עתיד), כי אז, רשאי בית משפט ליתן צו למניעת הטרדה מאיימת.</w:t>
      </w:r>
      <w:r w:rsidR="00970454" w:rsidRPr="00F37CCE">
        <w:rPr>
          <w:rFonts w:ascii="FrankRuehl" w:hAnsi="FrankRuehl" w:cs="FrankRuehl" w:hint="cs"/>
          <w:sz w:val="28"/>
          <w:szCs w:val="28"/>
          <w:rtl/>
        </w:rPr>
        <w:t xml:space="preserve"> ראו בר"ע </w:t>
      </w:r>
      <w:r w:rsidR="00970454" w:rsidRPr="00F37CCE">
        <w:rPr>
          <w:rFonts w:ascii="FrankRuehl" w:hAnsi="FrankRuehl" w:cs="FrankRuehl"/>
          <w:sz w:val="28"/>
          <w:szCs w:val="28"/>
          <w:rtl/>
        </w:rPr>
        <w:t xml:space="preserve">(י-ם) 179/04 </w:t>
      </w:r>
      <w:r w:rsidR="00F37CCE">
        <w:rPr>
          <w:rFonts w:ascii="FrankRuehl" w:hAnsi="FrankRuehl" w:cs="FrankRuehl" w:hint="cs"/>
          <w:sz w:val="28"/>
          <w:szCs w:val="28"/>
          <w:rtl/>
        </w:rPr>
        <w:t xml:space="preserve">שאוזכר לעיל, </w:t>
      </w:r>
      <w:r w:rsidR="00970454" w:rsidRPr="00F37CCE">
        <w:rPr>
          <w:rFonts w:ascii="FrankRuehl" w:hAnsi="FrankRuehl" w:cs="FrankRuehl" w:hint="cs"/>
          <w:sz w:val="28"/>
          <w:szCs w:val="28"/>
          <w:rtl/>
        </w:rPr>
        <w:t xml:space="preserve">סעיף 20 לפסה"ד מיום 10.08.2004. </w:t>
      </w:r>
    </w:p>
    <w:p w:rsidR="00982696" w:rsidRPr="00982696" w:rsidRDefault="00982696" w:rsidP="00982696">
      <w:pPr>
        <w:pStyle w:val="af"/>
        <w:rPr>
          <w:rFonts w:ascii="FrankRuehl" w:hAnsi="FrankRuehl" w:cs="FrankRuehl"/>
          <w:b/>
          <w:bCs/>
          <w:sz w:val="28"/>
          <w:szCs w:val="28"/>
          <w:rtl/>
        </w:rPr>
      </w:pPr>
    </w:p>
    <w:p w:rsidR="00982696" w:rsidRDefault="00982696" w:rsidP="00126D32">
      <w:pPr>
        <w:pStyle w:val="af"/>
        <w:spacing w:line="360" w:lineRule="auto"/>
        <w:ind w:left="360"/>
        <w:jc w:val="both"/>
        <w:rPr>
          <w:rFonts w:ascii="FrankRuehl" w:hAnsi="FrankRuehl" w:cs="FrankRuehl"/>
          <w:sz w:val="28"/>
          <w:szCs w:val="28"/>
          <w:rtl/>
        </w:rPr>
      </w:pPr>
      <w:r>
        <w:rPr>
          <w:rFonts w:ascii="FrankRuehl" w:hAnsi="FrankRuehl" w:cs="FrankRuehl" w:hint="cs"/>
          <w:b/>
          <w:bCs/>
          <w:sz w:val="28"/>
          <w:szCs w:val="28"/>
          <w:rtl/>
        </w:rPr>
        <w:t>חוק מניעת הטרדה מאיימת, התשס"ב-2001 מתמקד בהשפעתו הנמשכת של הפרסום על האדם עצמו, בשל כך שהוא מאיים על שלוות חייו ופרטיותו</w:t>
      </w:r>
      <w:r w:rsidR="009622D6">
        <w:rPr>
          <w:rFonts w:ascii="FrankRuehl" w:hAnsi="FrankRuehl" w:cs="FrankRuehl" w:hint="cs"/>
          <w:b/>
          <w:bCs/>
          <w:sz w:val="28"/>
          <w:szCs w:val="28"/>
          <w:rtl/>
        </w:rPr>
        <w:t xml:space="preserve"> ועל כן, לביטוי חוזר ונשנה יש מ</w:t>
      </w:r>
      <w:r>
        <w:rPr>
          <w:rFonts w:ascii="FrankRuehl" w:hAnsi="FrankRuehl" w:cs="FrankRuehl" w:hint="cs"/>
          <w:b/>
          <w:bCs/>
          <w:sz w:val="28"/>
          <w:szCs w:val="28"/>
          <w:rtl/>
        </w:rPr>
        <w:t xml:space="preserve">שמעות לעניין הטרדה מאיימת </w:t>
      </w:r>
      <w:r>
        <w:rPr>
          <w:rFonts w:ascii="FrankRuehl" w:hAnsi="FrankRuehl" w:cs="FrankRuehl"/>
          <w:b/>
          <w:bCs/>
          <w:sz w:val="28"/>
          <w:szCs w:val="28"/>
          <w:rtl/>
        </w:rPr>
        <w:t>–</w:t>
      </w:r>
      <w:r>
        <w:rPr>
          <w:rFonts w:ascii="FrankRuehl" w:hAnsi="FrankRuehl" w:cs="FrankRuehl" w:hint="cs"/>
          <w:b/>
          <w:bCs/>
          <w:sz w:val="28"/>
          <w:szCs w:val="28"/>
          <w:rtl/>
        </w:rPr>
        <w:t xml:space="preserve"> בעתיד. </w:t>
      </w:r>
      <w:r>
        <w:rPr>
          <w:rFonts w:ascii="FrankRuehl" w:hAnsi="FrankRuehl" w:cs="FrankRuehl" w:hint="cs"/>
          <w:sz w:val="28"/>
          <w:szCs w:val="28"/>
          <w:rtl/>
        </w:rPr>
        <w:t xml:space="preserve">ראו ע"א 6861/22 </w:t>
      </w:r>
      <w:r>
        <w:rPr>
          <w:rFonts w:ascii="FrankRuehl" w:hAnsi="FrankRuehl" w:cs="FrankRuehl" w:hint="cs"/>
          <w:b/>
          <w:bCs/>
          <w:sz w:val="28"/>
          <w:szCs w:val="28"/>
          <w:rtl/>
        </w:rPr>
        <w:t>יוספה ברק טמיר נ' ד"ר שרון אלרעי פרייס</w:t>
      </w:r>
      <w:r>
        <w:rPr>
          <w:rFonts w:ascii="FrankRuehl" w:hAnsi="FrankRuehl" w:cs="FrankRuehl" w:hint="cs"/>
          <w:sz w:val="28"/>
          <w:szCs w:val="28"/>
          <w:rtl/>
        </w:rPr>
        <w:t xml:space="preserve"> סעיף 11 לפסה"ד מיום 31.102022.</w:t>
      </w:r>
      <w:r w:rsidRPr="003C5DB5">
        <w:rPr>
          <w:rFonts w:ascii="FrankRuehl" w:hAnsi="FrankRuehl" w:cs="FrankRuehl" w:hint="cs"/>
          <w:sz w:val="28"/>
          <w:szCs w:val="28"/>
          <w:rtl/>
        </w:rPr>
        <w:t xml:space="preserve"> </w:t>
      </w:r>
    </w:p>
    <w:p w:rsidR="00CD6707" w:rsidRPr="0060632C" w:rsidRDefault="00CD6707" w:rsidP="00CD6707">
      <w:pPr>
        <w:pStyle w:val="af"/>
        <w:rPr>
          <w:rFonts w:ascii="FrankRuehl" w:hAnsi="FrankRuehl" w:cs="FrankRuehl"/>
          <w:sz w:val="28"/>
          <w:szCs w:val="28"/>
          <w:rtl/>
        </w:rPr>
      </w:pPr>
    </w:p>
    <w:p w:rsidR="00876DF3" w:rsidRPr="000A7EE7" w:rsidRDefault="00CD6707" w:rsidP="000A7EE7">
      <w:pPr>
        <w:pStyle w:val="af"/>
        <w:numPr>
          <w:ilvl w:val="0"/>
          <w:numId w:val="1"/>
        </w:numPr>
        <w:spacing w:line="360" w:lineRule="auto"/>
        <w:jc w:val="both"/>
        <w:rPr>
          <w:rFonts w:ascii="FrankRuehl" w:hAnsi="FrankRuehl" w:cs="FrankRuehl"/>
          <w:sz w:val="28"/>
          <w:szCs w:val="28"/>
          <w:rtl/>
        </w:rPr>
      </w:pPr>
      <w:r w:rsidRPr="00CD6707">
        <w:rPr>
          <w:rFonts w:ascii="FrankRuehl" w:hAnsi="FrankRuehl" w:cs="FrankRuehl" w:hint="cs"/>
          <w:sz w:val="28"/>
          <w:szCs w:val="28"/>
          <w:rtl/>
        </w:rPr>
        <w:t xml:space="preserve">המבקשת עצמה, בעת שתלוי ועומד צו זמני שניתן על ידי בית משפט זה </w:t>
      </w:r>
      <w:r w:rsidRPr="00CD6707">
        <w:rPr>
          <w:rFonts w:ascii="FrankRuehl" w:hAnsi="FrankRuehl" w:cs="FrankRuehl"/>
          <w:sz w:val="28"/>
          <w:szCs w:val="28"/>
          <w:rtl/>
        </w:rPr>
        <w:t>–</w:t>
      </w:r>
      <w:r w:rsidRPr="00CD6707">
        <w:rPr>
          <w:rFonts w:ascii="FrankRuehl" w:hAnsi="FrankRuehl" w:cs="FrankRuehl" w:hint="cs"/>
          <w:sz w:val="28"/>
          <w:szCs w:val="28"/>
          <w:rtl/>
        </w:rPr>
        <w:t xml:space="preserve"> לבקשתה, </w:t>
      </w:r>
      <w:r w:rsidR="00D466A1" w:rsidRPr="00CD6707">
        <w:rPr>
          <w:rFonts w:ascii="FrankRuehl" w:hAnsi="FrankRuehl" w:cs="FrankRuehl" w:hint="cs"/>
          <w:sz w:val="28"/>
          <w:szCs w:val="28"/>
          <w:rtl/>
        </w:rPr>
        <w:t xml:space="preserve">התראיינה ומתראיינת במדיות שונות, </w:t>
      </w:r>
      <w:r>
        <w:rPr>
          <w:rFonts w:ascii="FrankRuehl" w:hAnsi="FrankRuehl" w:cs="FrankRuehl" w:hint="cs"/>
          <w:sz w:val="28"/>
          <w:szCs w:val="28"/>
          <w:rtl/>
        </w:rPr>
        <w:t xml:space="preserve">בנוגע לטענות כנגדה. המבקשת </w:t>
      </w:r>
      <w:r w:rsidR="0060632C">
        <w:rPr>
          <w:rFonts w:ascii="FrankRuehl" w:hAnsi="FrankRuehl" w:cs="FrankRuehl" w:hint="cs"/>
          <w:sz w:val="28"/>
          <w:szCs w:val="28"/>
          <w:rtl/>
        </w:rPr>
        <w:t xml:space="preserve">עצמה </w:t>
      </w:r>
      <w:r>
        <w:rPr>
          <w:rFonts w:ascii="FrankRuehl" w:hAnsi="FrankRuehl" w:cs="FrankRuehl" w:hint="cs"/>
          <w:sz w:val="28"/>
          <w:szCs w:val="28"/>
          <w:rtl/>
        </w:rPr>
        <w:t xml:space="preserve">חוזרת ומחזירה עצמה ועניינה "לעין הציבור" </w:t>
      </w:r>
      <w:r w:rsidR="0060632C">
        <w:rPr>
          <w:rFonts w:ascii="FrankRuehl" w:hAnsi="FrankRuehl" w:cs="FrankRuehl" w:hint="cs"/>
          <w:sz w:val="28"/>
          <w:szCs w:val="28"/>
          <w:rtl/>
        </w:rPr>
        <w:t>.</w:t>
      </w:r>
      <w:r w:rsidR="000A7EE7">
        <w:rPr>
          <w:rFonts w:ascii="FrankRuehl" w:hAnsi="FrankRuehl" w:cs="FrankRuehl" w:hint="cs"/>
          <w:sz w:val="28"/>
          <w:szCs w:val="28"/>
          <w:rtl/>
        </w:rPr>
        <w:t xml:space="preserve">על כן, </w:t>
      </w:r>
      <w:r w:rsidR="000A7EE7" w:rsidRPr="000A7EE7">
        <w:rPr>
          <w:rFonts w:ascii="FrankRuehl" w:hAnsi="FrankRuehl" w:cs="FrankRuehl" w:hint="cs"/>
          <w:sz w:val="28"/>
          <w:szCs w:val="28"/>
          <w:rtl/>
        </w:rPr>
        <w:t>הסברה של המבקשת כי עיתוי הגשת התובענה נובע מכך שעתידה להתפרסם הכרעת הדין במשפט החוזר בעניין רצח תאיר ראדה, מה שעלול לעורר מחדש עניין במבקשת ובפירסומים אין בו לשנות  - שכן איני יכולה לקבלו.</w:t>
      </w:r>
    </w:p>
    <w:p w:rsidR="000A7EE7" w:rsidRDefault="000A7EE7" w:rsidP="0060632C">
      <w:pPr>
        <w:pStyle w:val="af"/>
        <w:spacing w:line="360" w:lineRule="auto"/>
        <w:ind w:left="360"/>
        <w:jc w:val="both"/>
        <w:rPr>
          <w:rFonts w:ascii="FrankRuehl" w:hAnsi="FrankRuehl" w:cs="FrankRuehl"/>
          <w:sz w:val="28"/>
          <w:szCs w:val="28"/>
          <w:rtl/>
        </w:rPr>
      </w:pPr>
    </w:p>
    <w:p w:rsidR="005A5868" w:rsidRDefault="005A5868" w:rsidP="0060632C">
      <w:pPr>
        <w:pStyle w:val="af"/>
        <w:spacing w:line="360" w:lineRule="auto"/>
        <w:ind w:left="360"/>
        <w:jc w:val="both"/>
        <w:rPr>
          <w:rFonts w:ascii="FrankRuehl" w:hAnsi="FrankRuehl" w:cs="FrankRuehl"/>
          <w:sz w:val="28"/>
          <w:szCs w:val="28"/>
          <w:rtl/>
        </w:rPr>
      </w:pPr>
    </w:p>
    <w:p w:rsidR="005A5868" w:rsidRDefault="005A5868" w:rsidP="0060632C">
      <w:pPr>
        <w:pStyle w:val="af"/>
        <w:spacing w:line="360" w:lineRule="auto"/>
        <w:ind w:left="360"/>
        <w:jc w:val="both"/>
        <w:rPr>
          <w:rFonts w:ascii="FrankRuehl" w:hAnsi="FrankRuehl" w:cs="FrankRuehl"/>
          <w:sz w:val="28"/>
          <w:szCs w:val="28"/>
          <w:rtl/>
        </w:rPr>
      </w:pPr>
    </w:p>
    <w:p w:rsidR="00013BFC" w:rsidRDefault="00876DF3" w:rsidP="005A5868">
      <w:pPr>
        <w:pStyle w:val="af"/>
        <w:spacing w:line="360" w:lineRule="auto"/>
        <w:ind w:left="360"/>
        <w:jc w:val="both"/>
        <w:rPr>
          <w:rFonts w:ascii="FrankRuehl" w:hAnsi="FrankRuehl" w:cs="FrankRuehl"/>
          <w:sz w:val="28"/>
          <w:szCs w:val="28"/>
          <w:rtl/>
        </w:rPr>
      </w:pPr>
      <w:r>
        <w:rPr>
          <w:rFonts w:ascii="FrankRuehl" w:hAnsi="FrankRuehl" w:cs="FrankRuehl" w:hint="cs"/>
          <w:sz w:val="28"/>
          <w:szCs w:val="28"/>
          <w:rtl/>
        </w:rPr>
        <w:lastRenderedPageBreak/>
        <w:t>ו</w:t>
      </w:r>
      <w:r w:rsidR="00D466A1" w:rsidRPr="00876DF3">
        <w:rPr>
          <w:rFonts w:ascii="FrankRuehl" w:hAnsi="FrankRuehl" w:cs="FrankRuehl" w:hint="cs"/>
          <w:sz w:val="28"/>
          <w:szCs w:val="28"/>
          <w:rtl/>
        </w:rPr>
        <w:t>דוק איני ממעיטה מהקושי שחווה המבקשת בשל האיומים המופנים אליה נוכח חשדות שהופנו אליה בנוגע לרצח תאיר ראדה</w:t>
      </w:r>
      <w:r>
        <w:rPr>
          <w:rFonts w:ascii="FrankRuehl" w:hAnsi="FrankRuehl" w:cs="FrankRuehl" w:hint="cs"/>
          <w:sz w:val="28"/>
          <w:szCs w:val="28"/>
          <w:rtl/>
        </w:rPr>
        <w:t xml:space="preserve"> </w:t>
      </w:r>
      <w:r w:rsidR="00013BFC">
        <w:rPr>
          <w:rFonts w:ascii="FrankRuehl" w:hAnsi="FrankRuehl" w:cs="FrankRuehl" w:hint="cs"/>
          <w:sz w:val="28"/>
          <w:szCs w:val="28"/>
          <w:rtl/>
        </w:rPr>
        <w:t xml:space="preserve">ז"ל </w:t>
      </w:r>
      <w:r>
        <w:rPr>
          <w:rFonts w:ascii="FrankRuehl" w:hAnsi="FrankRuehl" w:cs="FrankRuehl"/>
          <w:sz w:val="28"/>
          <w:szCs w:val="28"/>
          <w:rtl/>
        </w:rPr>
        <w:t>–</w:t>
      </w:r>
      <w:r>
        <w:rPr>
          <w:rFonts w:ascii="FrankRuehl" w:hAnsi="FrankRuehl" w:cs="FrankRuehl" w:hint="cs"/>
          <w:sz w:val="28"/>
          <w:szCs w:val="28"/>
          <w:rtl/>
        </w:rPr>
        <w:t xml:space="preserve"> </w:t>
      </w:r>
      <w:r w:rsidRPr="00013BFC">
        <w:rPr>
          <w:rFonts w:ascii="FrankRuehl" w:hAnsi="FrankRuehl" w:cs="FrankRuehl" w:hint="cs"/>
          <w:b/>
          <w:bCs/>
          <w:sz w:val="28"/>
          <w:szCs w:val="28"/>
          <w:rtl/>
        </w:rPr>
        <w:t>אלא שמקום בו המבקשת עצמה, מעלה לסדר היום הציבורי, במדיות שונות, את ההקשר הנטען כלפיה בנוגע לרצח תאיר ראדה</w:t>
      </w:r>
      <w:r w:rsidR="00013BFC" w:rsidRPr="00013BFC">
        <w:rPr>
          <w:rFonts w:ascii="FrankRuehl" w:hAnsi="FrankRuehl" w:cs="FrankRuehl" w:hint="cs"/>
          <w:b/>
          <w:bCs/>
          <w:sz w:val="28"/>
          <w:szCs w:val="28"/>
          <w:rtl/>
        </w:rPr>
        <w:t xml:space="preserve"> ז"ל</w:t>
      </w:r>
      <w:r w:rsidRPr="00013BFC">
        <w:rPr>
          <w:rFonts w:ascii="FrankRuehl" w:hAnsi="FrankRuehl" w:cs="FrankRuehl" w:hint="cs"/>
          <w:b/>
          <w:bCs/>
          <w:sz w:val="28"/>
          <w:szCs w:val="28"/>
          <w:rtl/>
        </w:rPr>
        <w:t>, אין היא יכולה לטעון כעת כי מדובר בפירסום הפוגע בפרטיותה או בשלוות חייה.</w:t>
      </w:r>
      <w:r w:rsidR="00651742" w:rsidRPr="00013BFC">
        <w:rPr>
          <w:rFonts w:ascii="FrankRuehl" w:hAnsi="FrankRuehl" w:cs="FrankRuehl" w:hint="cs"/>
          <w:b/>
          <w:bCs/>
          <w:sz w:val="28"/>
          <w:szCs w:val="28"/>
          <w:rtl/>
        </w:rPr>
        <w:t xml:space="preserve"> </w:t>
      </w:r>
      <w:r w:rsidR="00651742">
        <w:rPr>
          <w:rFonts w:ascii="FrankRuehl" w:hAnsi="FrankRuehl" w:cs="FrankRuehl" w:hint="cs"/>
          <w:sz w:val="28"/>
          <w:szCs w:val="28"/>
          <w:rtl/>
        </w:rPr>
        <w:t>ראו נספח 5 לתשובת המשיב עמודים 26-29 לתשובה</w:t>
      </w:r>
      <w:r w:rsidR="00013BFC">
        <w:rPr>
          <w:rFonts w:ascii="FrankRuehl" w:hAnsi="FrankRuehl" w:cs="FrankRuehl" w:hint="cs"/>
          <w:sz w:val="28"/>
          <w:szCs w:val="28"/>
          <w:rtl/>
        </w:rPr>
        <w:t xml:space="preserve"> וסעיף טו לסיכומיו. </w:t>
      </w:r>
    </w:p>
    <w:p w:rsidR="00013BFC" w:rsidRDefault="00013BFC" w:rsidP="00013BFC">
      <w:pPr>
        <w:pStyle w:val="af"/>
        <w:spacing w:line="360" w:lineRule="auto"/>
        <w:ind w:left="360"/>
        <w:jc w:val="both"/>
        <w:rPr>
          <w:rFonts w:ascii="FrankRuehl" w:hAnsi="FrankRuehl" w:cs="FrankRuehl"/>
          <w:sz w:val="28"/>
          <w:szCs w:val="28"/>
          <w:rtl/>
        </w:rPr>
      </w:pPr>
    </w:p>
    <w:p w:rsidR="003B2586" w:rsidRDefault="003B2586" w:rsidP="00013BFC">
      <w:pPr>
        <w:pStyle w:val="af"/>
        <w:spacing w:line="360" w:lineRule="auto"/>
        <w:ind w:left="360"/>
        <w:jc w:val="both"/>
        <w:rPr>
          <w:rFonts w:ascii="FrankRuehl" w:hAnsi="FrankRuehl" w:cs="FrankRuehl"/>
          <w:sz w:val="28"/>
          <w:szCs w:val="28"/>
          <w:rtl/>
        </w:rPr>
      </w:pPr>
      <w:r>
        <w:rPr>
          <w:rFonts w:ascii="FrankRuehl" w:hAnsi="FrankRuehl" w:cs="FrankRuehl" w:hint="cs"/>
          <w:sz w:val="28"/>
          <w:szCs w:val="28"/>
          <w:rtl/>
        </w:rPr>
        <w:t xml:space="preserve">התנהגותה זו של המבקשת, היא אשר מאיינת את הטענה כי הפרסומים "חצו את הגבול" </w:t>
      </w:r>
      <w:r w:rsidR="009622D6">
        <w:rPr>
          <w:rFonts w:ascii="FrankRuehl" w:hAnsi="FrankRuehl" w:cs="FrankRuehl" w:hint="cs"/>
          <w:sz w:val="28"/>
          <w:szCs w:val="28"/>
          <w:rtl/>
        </w:rPr>
        <w:t>והעבירו</w:t>
      </w:r>
      <w:r>
        <w:rPr>
          <w:rFonts w:ascii="FrankRuehl" w:hAnsi="FrankRuehl" w:cs="FrankRuehl" w:hint="cs"/>
          <w:sz w:val="28"/>
          <w:szCs w:val="28"/>
          <w:rtl/>
        </w:rPr>
        <w:t xml:space="preserve"> את הפירסומים לשדה תחולת חוק מניעת הטרדה מאיימת, התשס"ב-2001. והשווה ע"א (ת"א) 28699-08-22 </w:t>
      </w:r>
      <w:r w:rsidRPr="003B2586">
        <w:rPr>
          <w:rFonts w:ascii="FrankRuehl" w:hAnsi="FrankRuehl" w:cs="FrankRuehl" w:hint="cs"/>
          <w:b/>
          <w:bCs/>
          <w:sz w:val="28"/>
          <w:szCs w:val="28"/>
          <w:rtl/>
        </w:rPr>
        <w:t>יוספה ברק טמיר נ' ד"ר שרון אלרועי-פרייס</w:t>
      </w:r>
      <w:r>
        <w:rPr>
          <w:rFonts w:ascii="FrankRuehl" w:hAnsi="FrankRuehl" w:cs="FrankRuehl" w:hint="cs"/>
          <w:sz w:val="28"/>
          <w:szCs w:val="28"/>
          <w:rtl/>
        </w:rPr>
        <w:t xml:space="preserve">, מיום 19.08.2022. </w:t>
      </w:r>
    </w:p>
    <w:p w:rsidR="0060632C" w:rsidRDefault="0060632C" w:rsidP="0060632C">
      <w:pPr>
        <w:pStyle w:val="af"/>
        <w:spacing w:line="360" w:lineRule="auto"/>
        <w:ind w:left="360"/>
        <w:jc w:val="both"/>
        <w:rPr>
          <w:rFonts w:ascii="FrankRuehl" w:hAnsi="FrankRuehl" w:cs="FrankRuehl"/>
          <w:sz w:val="28"/>
          <w:szCs w:val="28"/>
          <w:rtl/>
        </w:rPr>
      </w:pPr>
    </w:p>
    <w:p w:rsidR="00AF05CE" w:rsidRPr="00AF05CE" w:rsidRDefault="00AF05CE" w:rsidP="005A5868">
      <w:pPr>
        <w:pStyle w:val="af"/>
        <w:numPr>
          <w:ilvl w:val="0"/>
          <w:numId w:val="1"/>
        </w:numPr>
        <w:spacing w:line="360" w:lineRule="auto"/>
        <w:jc w:val="both"/>
        <w:rPr>
          <w:rFonts w:ascii="FrankRuehl" w:hAnsi="FrankRuehl" w:cs="FrankRuehl"/>
          <w:sz w:val="28"/>
          <w:szCs w:val="28"/>
          <w:rtl/>
        </w:rPr>
      </w:pPr>
      <w:r w:rsidRPr="00AF05CE">
        <w:rPr>
          <w:rFonts w:ascii="FrankRuehl" w:hAnsi="FrankRuehl" w:cs="FrankRuehl"/>
          <w:sz w:val="28"/>
          <w:szCs w:val="28"/>
          <w:rtl/>
        </w:rPr>
        <w:t xml:space="preserve">נוסף על כך, המבקשת </w:t>
      </w:r>
      <w:r w:rsidR="00013BFC">
        <w:rPr>
          <w:rFonts w:ascii="FrankRuehl" w:hAnsi="FrankRuehl" w:cs="FrankRuehl" w:hint="cs"/>
          <w:sz w:val="28"/>
          <w:szCs w:val="28"/>
          <w:rtl/>
        </w:rPr>
        <w:t xml:space="preserve">הגישה כנגד המשיב תביעה מכוח </w:t>
      </w:r>
      <w:r w:rsidRPr="00AF05CE">
        <w:rPr>
          <w:rFonts w:ascii="FrankRuehl" w:hAnsi="FrankRuehl" w:cs="FrankRuehl"/>
          <w:sz w:val="28"/>
          <w:szCs w:val="28"/>
          <w:rtl/>
        </w:rPr>
        <w:t xml:space="preserve"> חוק איסור לשון הרע, התשכ"ה-1965.</w:t>
      </w:r>
      <w:r w:rsidR="00013BFC">
        <w:rPr>
          <w:rFonts w:ascii="FrankRuehl" w:hAnsi="FrankRuehl" w:cs="FrankRuehl" w:hint="cs"/>
          <w:sz w:val="28"/>
          <w:szCs w:val="28"/>
          <w:rtl/>
        </w:rPr>
        <w:t xml:space="preserve"> </w:t>
      </w:r>
      <w:r w:rsidR="00357C5D">
        <w:rPr>
          <w:rFonts w:ascii="FrankRuehl" w:hAnsi="FrankRuehl" w:cs="FrankRuehl" w:hint="cs"/>
          <w:sz w:val="28"/>
          <w:szCs w:val="28"/>
          <w:rtl/>
        </w:rPr>
        <w:t xml:space="preserve">נפסק כי התרופה הטבעית לפגיעה בשם הטוב הוא סעד הפיצויים ולא על נקלה יאסור פרסום בשלב המקדמי </w:t>
      </w:r>
      <w:r w:rsidR="00357C5D">
        <w:rPr>
          <w:rFonts w:ascii="FrankRuehl" w:hAnsi="FrankRuehl" w:cs="FrankRuehl"/>
          <w:sz w:val="28"/>
          <w:szCs w:val="28"/>
          <w:rtl/>
        </w:rPr>
        <w:t>–</w:t>
      </w:r>
      <w:r w:rsidR="00357C5D">
        <w:rPr>
          <w:rFonts w:ascii="FrankRuehl" w:hAnsi="FrankRuehl" w:cs="FrankRuehl" w:hint="cs"/>
          <w:sz w:val="28"/>
          <w:szCs w:val="28"/>
          <w:rtl/>
        </w:rPr>
        <w:t xml:space="preserve"> ולכן אין לאפשר "כביש עוקף" לדינים החלים על טענות שעניינן חוק איסור לשון הרע, התשכ"ה-1965</w:t>
      </w:r>
      <w:r w:rsidR="00140E0A">
        <w:rPr>
          <w:rFonts w:ascii="FrankRuehl" w:hAnsi="FrankRuehl" w:cs="FrankRuehl" w:hint="cs"/>
          <w:sz w:val="28"/>
          <w:szCs w:val="28"/>
          <w:rtl/>
        </w:rPr>
        <w:t xml:space="preserve"> או חוק הגנת הפרטיות, התשמ"א-1981</w:t>
      </w:r>
      <w:r w:rsidR="00357C5D">
        <w:rPr>
          <w:rFonts w:ascii="FrankRuehl" w:hAnsi="FrankRuehl" w:cs="FrankRuehl" w:hint="cs"/>
          <w:sz w:val="28"/>
          <w:szCs w:val="28"/>
          <w:rtl/>
        </w:rPr>
        <w:t xml:space="preserve">, באמצעות שימוש בתובענה מכוח חוק מניעת הטרדה מאיימת, התשס"ב-2001 למצוא דרך עוקפת שכזו. ראו </w:t>
      </w:r>
      <w:r w:rsidRPr="00AF05CE">
        <w:rPr>
          <w:rFonts w:ascii="FrankRuehl" w:hAnsi="FrankRuehl" w:cs="FrankRuehl" w:hint="cs"/>
          <w:sz w:val="28"/>
          <w:szCs w:val="28"/>
          <w:rtl/>
        </w:rPr>
        <w:t xml:space="preserve">ה"ט 73665-12-20 </w:t>
      </w:r>
      <w:r w:rsidRPr="00AF05CE">
        <w:rPr>
          <w:rFonts w:ascii="FrankRuehl" w:hAnsi="FrankRuehl" w:cs="FrankRuehl" w:hint="cs"/>
          <w:b/>
          <w:bCs/>
          <w:sz w:val="28"/>
          <w:szCs w:val="28"/>
          <w:rtl/>
        </w:rPr>
        <w:t>גלובל קורייר אקספרס בע"מ נ' דרורי</w:t>
      </w:r>
      <w:r w:rsidRPr="00AF05CE">
        <w:rPr>
          <w:rFonts w:ascii="FrankRuehl" w:hAnsi="FrankRuehl" w:cs="FrankRuehl" w:hint="cs"/>
          <w:sz w:val="28"/>
          <w:szCs w:val="28"/>
          <w:rtl/>
        </w:rPr>
        <w:t xml:space="preserve">, </w:t>
      </w:r>
      <w:r>
        <w:rPr>
          <w:rFonts w:ascii="FrankRuehl" w:hAnsi="FrankRuehl" w:cs="FrankRuehl" w:hint="cs"/>
          <w:sz w:val="28"/>
          <w:szCs w:val="28"/>
          <w:rtl/>
        </w:rPr>
        <w:t xml:space="preserve">סעיף 36 לפסה"ד </w:t>
      </w:r>
      <w:r w:rsidRPr="00AF05CE">
        <w:rPr>
          <w:rFonts w:ascii="FrankRuehl" w:hAnsi="FrankRuehl" w:cs="FrankRuehl" w:hint="cs"/>
          <w:sz w:val="28"/>
          <w:szCs w:val="28"/>
          <w:rtl/>
        </w:rPr>
        <w:t>מיום 17.1.2021</w:t>
      </w:r>
      <w:r w:rsidR="003B2586">
        <w:rPr>
          <w:rFonts w:ascii="FrankRuehl" w:hAnsi="FrankRuehl" w:cs="FrankRuehl" w:hint="cs"/>
          <w:sz w:val="28"/>
          <w:szCs w:val="28"/>
          <w:rtl/>
        </w:rPr>
        <w:t xml:space="preserve">; ה"ט (ת"א) 18134-09-22 </w:t>
      </w:r>
      <w:r w:rsidR="003B2586">
        <w:rPr>
          <w:rFonts w:ascii="FrankRuehl" w:hAnsi="FrankRuehl" w:cs="FrankRuehl" w:hint="cs"/>
          <w:b/>
          <w:bCs/>
          <w:sz w:val="28"/>
          <w:szCs w:val="28"/>
          <w:rtl/>
        </w:rPr>
        <w:t>יוספה ברק נ' נתי לנגרמן</w:t>
      </w:r>
      <w:r w:rsidR="003B2586">
        <w:rPr>
          <w:rFonts w:ascii="FrankRuehl" w:hAnsi="FrankRuehl" w:cs="FrankRuehl" w:hint="cs"/>
          <w:sz w:val="28"/>
          <w:szCs w:val="28"/>
          <w:rtl/>
        </w:rPr>
        <w:t>, סעיף 16 לפסה"ד מיום 8.9.2022.</w:t>
      </w:r>
    </w:p>
    <w:p w:rsidR="00AF05CE" w:rsidRPr="00AF05CE" w:rsidRDefault="00AF05CE" w:rsidP="00AF05CE">
      <w:pPr>
        <w:spacing w:line="360" w:lineRule="auto"/>
        <w:jc w:val="both"/>
        <w:rPr>
          <w:rFonts w:ascii="FrankRuehl" w:hAnsi="FrankRuehl" w:cs="FrankRuehl"/>
          <w:sz w:val="28"/>
          <w:szCs w:val="28"/>
        </w:rPr>
      </w:pPr>
    </w:p>
    <w:p w:rsidR="001011A7" w:rsidRDefault="00AF0CEF" w:rsidP="00B36EB1">
      <w:pPr>
        <w:pStyle w:val="af"/>
        <w:numPr>
          <w:ilvl w:val="0"/>
          <w:numId w:val="1"/>
        </w:numPr>
        <w:spacing w:line="360" w:lineRule="auto"/>
        <w:jc w:val="both"/>
        <w:rPr>
          <w:rFonts w:ascii="FrankRuehl" w:hAnsi="FrankRuehl" w:cs="FrankRuehl"/>
          <w:sz w:val="28"/>
          <w:szCs w:val="28"/>
        </w:rPr>
      </w:pPr>
      <w:r w:rsidRPr="001011A7">
        <w:rPr>
          <w:rFonts w:ascii="FrankRuehl" w:hAnsi="FrankRuehl" w:cs="FrankRuehl" w:hint="cs"/>
          <w:sz w:val="28"/>
          <w:szCs w:val="28"/>
          <w:rtl/>
        </w:rPr>
        <w:t>ואכן, עיתוי הגשת התובענה, זמן</w:t>
      </w:r>
      <w:r w:rsidR="0060632C" w:rsidRPr="001011A7">
        <w:rPr>
          <w:rFonts w:ascii="FrankRuehl" w:hAnsi="FrankRuehl" w:cs="FrankRuehl" w:hint="cs"/>
          <w:sz w:val="28"/>
          <w:szCs w:val="28"/>
          <w:rtl/>
        </w:rPr>
        <w:t xml:space="preserve"> רב לאחר אותם פרסומים, מעלה חשש כי יש ממש בטענות המשיב כי המבקשת עושה שימוש בהליך זה </w:t>
      </w:r>
      <w:r w:rsidR="007D2063" w:rsidRPr="001011A7">
        <w:rPr>
          <w:rFonts w:ascii="FrankRuehl" w:hAnsi="FrankRuehl" w:cs="FrankRuehl" w:hint="cs"/>
          <w:sz w:val="28"/>
          <w:szCs w:val="28"/>
          <w:rtl/>
        </w:rPr>
        <w:t>"ככביש עוקף" ו</w:t>
      </w:r>
      <w:r w:rsidR="0060632C" w:rsidRPr="001011A7">
        <w:rPr>
          <w:rFonts w:ascii="FrankRuehl" w:hAnsi="FrankRuehl" w:cs="FrankRuehl" w:hint="cs"/>
          <w:sz w:val="28"/>
          <w:szCs w:val="28"/>
          <w:rtl/>
        </w:rPr>
        <w:t xml:space="preserve">לא למטרה לשמה </w:t>
      </w:r>
      <w:r w:rsidR="00D62F6E" w:rsidRPr="001011A7">
        <w:rPr>
          <w:rFonts w:ascii="FrankRuehl" w:hAnsi="FrankRuehl" w:cs="FrankRuehl" w:hint="cs"/>
          <w:sz w:val="28"/>
          <w:szCs w:val="28"/>
          <w:rtl/>
        </w:rPr>
        <w:t>חוקק</w:t>
      </w:r>
      <w:r w:rsidR="0060632C" w:rsidRPr="001011A7">
        <w:rPr>
          <w:rFonts w:ascii="FrankRuehl" w:hAnsi="FrankRuehl" w:cs="FrankRuehl" w:hint="cs"/>
          <w:sz w:val="28"/>
          <w:szCs w:val="28"/>
          <w:rtl/>
        </w:rPr>
        <w:t xml:space="preserve"> חוק מניעת הטרדה מאיימת, התשס"ב-2001.</w:t>
      </w:r>
      <w:r w:rsidR="001011A7">
        <w:rPr>
          <w:rFonts w:ascii="FrankRuehl" w:hAnsi="FrankRuehl" w:cs="FrankRuehl" w:hint="cs"/>
          <w:sz w:val="28"/>
          <w:szCs w:val="28"/>
          <w:rtl/>
        </w:rPr>
        <w:t xml:space="preserve"> </w:t>
      </w:r>
    </w:p>
    <w:p w:rsidR="001011A7" w:rsidRPr="001011A7" w:rsidRDefault="001011A7" w:rsidP="001011A7">
      <w:pPr>
        <w:pStyle w:val="af"/>
        <w:rPr>
          <w:rFonts w:ascii="FrankRuehl" w:hAnsi="FrankRuehl" w:cs="FrankRuehl"/>
          <w:sz w:val="28"/>
          <w:szCs w:val="28"/>
          <w:rtl/>
        </w:rPr>
      </w:pPr>
    </w:p>
    <w:p w:rsidR="00EE23A6" w:rsidRPr="001011A7" w:rsidRDefault="00EE23A6" w:rsidP="00B36EB1">
      <w:pPr>
        <w:pStyle w:val="af"/>
        <w:numPr>
          <w:ilvl w:val="0"/>
          <w:numId w:val="1"/>
        </w:numPr>
        <w:spacing w:line="360" w:lineRule="auto"/>
        <w:jc w:val="both"/>
        <w:rPr>
          <w:rFonts w:ascii="FrankRuehl" w:hAnsi="FrankRuehl" w:cs="FrankRuehl"/>
          <w:sz w:val="28"/>
          <w:szCs w:val="28"/>
        </w:rPr>
      </w:pPr>
      <w:r w:rsidRPr="001011A7">
        <w:rPr>
          <w:rFonts w:ascii="FrankRuehl" w:hAnsi="FrankRuehl" w:cs="FrankRuehl" w:hint="cs"/>
          <w:sz w:val="28"/>
          <w:szCs w:val="28"/>
          <w:rtl/>
        </w:rPr>
        <w:t xml:space="preserve">לאמור יש להוסיף את התרשמותי הישירה מהצדדים. שני הצדדים לא והתירו רושם מהיימן ותשובותיהן ועדותם הותירו תחושה של התנהלות חסרת תום לב מצד שני הצדדים. </w:t>
      </w:r>
    </w:p>
    <w:p w:rsidR="0060632C" w:rsidRPr="00EE23A6" w:rsidRDefault="0060632C" w:rsidP="0060632C">
      <w:pPr>
        <w:pStyle w:val="af"/>
        <w:spacing w:line="360" w:lineRule="auto"/>
        <w:ind w:left="360"/>
        <w:jc w:val="both"/>
        <w:rPr>
          <w:rFonts w:ascii="FrankRuehl" w:hAnsi="FrankRuehl" w:cs="FrankRuehl"/>
          <w:sz w:val="28"/>
          <w:szCs w:val="28"/>
        </w:rPr>
      </w:pPr>
    </w:p>
    <w:p w:rsidR="0000363E" w:rsidRPr="0000363E" w:rsidRDefault="00CD6707" w:rsidP="00626AA8">
      <w:pPr>
        <w:pStyle w:val="af"/>
        <w:numPr>
          <w:ilvl w:val="0"/>
          <w:numId w:val="1"/>
        </w:numPr>
        <w:spacing w:line="360" w:lineRule="auto"/>
        <w:jc w:val="both"/>
        <w:rPr>
          <w:rFonts w:ascii="FrankRuehl" w:hAnsi="FrankRuehl" w:cs="FrankRuehl"/>
          <w:sz w:val="28"/>
          <w:szCs w:val="28"/>
        </w:rPr>
      </w:pPr>
      <w:r w:rsidRPr="0060632C">
        <w:rPr>
          <w:rFonts w:ascii="FrankRuehl" w:hAnsi="FrankRuehl" w:cs="FrankRuehl" w:hint="cs"/>
          <w:b/>
          <w:bCs/>
          <w:sz w:val="28"/>
          <w:szCs w:val="28"/>
          <w:rtl/>
        </w:rPr>
        <w:t xml:space="preserve">על כן מסקנתי היא כי אין מדובר במקרה בו יש ליתן איסור גורף לפרסומים </w:t>
      </w:r>
      <w:r w:rsidR="0000363E">
        <w:rPr>
          <w:rFonts w:ascii="FrankRuehl" w:hAnsi="FrankRuehl" w:cs="FrankRuehl" w:hint="cs"/>
          <w:b/>
          <w:bCs/>
          <w:sz w:val="28"/>
          <w:szCs w:val="28"/>
          <w:rtl/>
        </w:rPr>
        <w:t>כעתירת המבקשת.</w:t>
      </w:r>
    </w:p>
    <w:p w:rsidR="0000363E" w:rsidRPr="0000363E" w:rsidRDefault="0000363E" w:rsidP="0000363E">
      <w:pPr>
        <w:pStyle w:val="af"/>
        <w:rPr>
          <w:rFonts w:ascii="FrankRuehl" w:hAnsi="FrankRuehl" w:cs="FrankRuehl"/>
          <w:b/>
          <w:bCs/>
          <w:sz w:val="28"/>
          <w:szCs w:val="28"/>
          <w:rtl/>
        </w:rPr>
      </w:pPr>
    </w:p>
    <w:p w:rsidR="0000363E" w:rsidRPr="0000363E" w:rsidRDefault="0000363E" w:rsidP="001011A7">
      <w:pPr>
        <w:pStyle w:val="af"/>
        <w:numPr>
          <w:ilvl w:val="0"/>
          <w:numId w:val="1"/>
        </w:numPr>
        <w:spacing w:line="360" w:lineRule="auto"/>
        <w:jc w:val="both"/>
        <w:rPr>
          <w:rFonts w:ascii="FrankRuehl" w:hAnsi="FrankRuehl" w:cs="FrankRuehl"/>
          <w:sz w:val="28"/>
          <w:szCs w:val="28"/>
        </w:rPr>
      </w:pPr>
      <w:r>
        <w:rPr>
          <w:rFonts w:ascii="FrankRuehl" w:hAnsi="FrankRuehl" w:cs="FrankRuehl" w:hint="cs"/>
          <w:b/>
          <w:bCs/>
          <w:sz w:val="28"/>
          <w:szCs w:val="28"/>
          <w:rtl/>
        </w:rPr>
        <w:t>שקלתי אם יש מקום ליתן צו בנוגע לפירסום פ</w:t>
      </w:r>
      <w:r w:rsidR="00CD6707" w:rsidRPr="0060632C">
        <w:rPr>
          <w:rFonts w:ascii="FrankRuehl" w:hAnsi="FrankRuehl" w:cs="FrankRuehl" w:hint="cs"/>
          <w:b/>
          <w:bCs/>
          <w:sz w:val="28"/>
          <w:szCs w:val="28"/>
          <w:rtl/>
        </w:rPr>
        <w:t xml:space="preserve">רטים אישיים של המבקשת או </w:t>
      </w:r>
      <w:r w:rsidR="0060632C">
        <w:rPr>
          <w:rFonts w:ascii="FrankRuehl" w:hAnsi="FrankRuehl" w:cs="FrankRuehl" w:hint="cs"/>
          <w:b/>
          <w:bCs/>
          <w:sz w:val="28"/>
          <w:szCs w:val="28"/>
          <w:rtl/>
        </w:rPr>
        <w:t xml:space="preserve">מעקב על חייה כיום או פרטים כאמור על מי </w:t>
      </w:r>
      <w:r w:rsidR="0060632C" w:rsidRPr="00626AA8">
        <w:rPr>
          <w:rFonts w:ascii="FrankRuehl" w:hAnsi="FrankRuehl" w:cs="FrankRuehl" w:hint="cs"/>
          <w:b/>
          <w:bCs/>
          <w:sz w:val="28"/>
          <w:szCs w:val="28"/>
          <w:rtl/>
        </w:rPr>
        <w:t>מבני משפחתה</w:t>
      </w:r>
      <w:r w:rsidR="00626AA8" w:rsidRPr="00626AA8">
        <w:rPr>
          <w:rFonts w:ascii="FrankRuehl" w:hAnsi="FrankRuehl" w:cs="FrankRuehl" w:hint="cs"/>
          <w:b/>
          <w:bCs/>
          <w:sz w:val="28"/>
          <w:szCs w:val="28"/>
          <w:rtl/>
        </w:rPr>
        <w:t xml:space="preserve"> או ניהול ערו</w:t>
      </w:r>
      <w:r w:rsidR="00626AA8">
        <w:rPr>
          <w:rFonts w:ascii="FrankRuehl" w:hAnsi="FrankRuehl" w:cs="FrankRuehl" w:hint="cs"/>
          <w:b/>
          <w:bCs/>
          <w:sz w:val="28"/>
          <w:szCs w:val="28"/>
          <w:rtl/>
        </w:rPr>
        <w:t xml:space="preserve">ץ או קבוצה שעניינם </w:t>
      </w:r>
      <w:r w:rsidR="00626AA8" w:rsidRPr="00626AA8">
        <w:rPr>
          <w:rFonts w:ascii="FrankRuehl" w:hAnsi="FrankRuehl" w:cs="FrankRuehl" w:hint="cs"/>
          <w:b/>
          <w:bCs/>
          <w:sz w:val="28"/>
          <w:szCs w:val="28"/>
          <w:rtl/>
        </w:rPr>
        <w:t xml:space="preserve">המרכזי </w:t>
      </w:r>
      <w:r w:rsidR="00626AA8">
        <w:rPr>
          <w:rFonts w:ascii="FrankRuehl" w:hAnsi="FrankRuehl" w:cs="FrankRuehl" w:hint="cs"/>
          <w:b/>
          <w:bCs/>
          <w:sz w:val="28"/>
          <w:szCs w:val="28"/>
          <w:rtl/>
        </w:rPr>
        <w:t xml:space="preserve">הוא </w:t>
      </w:r>
      <w:r w:rsidR="00626AA8" w:rsidRPr="00626AA8">
        <w:rPr>
          <w:rFonts w:ascii="FrankRuehl" w:hAnsi="FrankRuehl" w:cs="FrankRuehl" w:hint="cs"/>
          <w:b/>
          <w:bCs/>
          <w:sz w:val="28"/>
          <w:szCs w:val="28"/>
          <w:rtl/>
        </w:rPr>
        <w:t xml:space="preserve">חייה של המבקשת ופרטים הנוגעים </w:t>
      </w:r>
      <w:r w:rsidR="00626AA8" w:rsidRPr="0000363E">
        <w:rPr>
          <w:rFonts w:ascii="FrankRuehl" w:hAnsi="FrankRuehl" w:cs="FrankRuehl" w:hint="cs"/>
          <w:b/>
          <w:bCs/>
          <w:sz w:val="28"/>
          <w:szCs w:val="28"/>
          <w:rtl/>
        </w:rPr>
        <w:t>אליה</w:t>
      </w:r>
      <w:r w:rsidR="001011A7">
        <w:rPr>
          <w:rFonts w:ascii="FrankRuehl" w:hAnsi="FrankRuehl" w:cs="FrankRuehl" w:hint="cs"/>
          <w:b/>
          <w:bCs/>
          <w:sz w:val="28"/>
          <w:szCs w:val="28"/>
          <w:rtl/>
        </w:rPr>
        <w:t>,</w:t>
      </w:r>
      <w:r w:rsidRPr="0000363E">
        <w:rPr>
          <w:rFonts w:ascii="FrankRuehl" w:hAnsi="FrankRuehl" w:cs="FrankRuehl" w:hint="cs"/>
          <w:b/>
          <w:bCs/>
          <w:sz w:val="28"/>
          <w:szCs w:val="28"/>
          <w:rtl/>
        </w:rPr>
        <w:t xml:space="preserve"> </w:t>
      </w:r>
      <w:r w:rsidR="001011A7">
        <w:rPr>
          <w:rFonts w:ascii="FrankRuehl" w:hAnsi="FrankRuehl" w:cs="FrankRuehl" w:hint="cs"/>
          <w:b/>
          <w:bCs/>
          <w:sz w:val="28"/>
          <w:szCs w:val="28"/>
          <w:rtl/>
        </w:rPr>
        <w:t>ול</w:t>
      </w:r>
      <w:r w:rsidRPr="0000363E">
        <w:rPr>
          <w:rFonts w:ascii="FrankRuehl" w:hAnsi="FrankRuehl" w:cs="FrankRuehl" w:hint="cs"/>
          <w:b/>
          <w:bCs/>
          <w:sz w:val="28"/>
          <w:szCs w:val="28"/>
          <w:rtl/>
        </w:rPr>
        <w:t>א מצאתי ל</w:t>
      </w:r>
      <w:r w:rsidR="001011A7">
        <w:rPr>
          <w:rFonts w:ascii="FrankRuehl" w:hAnsi="FrankRuehl" w:cs="FrankRuehl" w:hint="cs"/>
          <w:b/>
          <w:bCs/>
          <w:sz w:val="28"/>
          <w:szCs w:val="28"/>
          <w:rtl/>
        </w:rPr>
        <w:t xml:space="preserve">עשות כן, </w:t>
      </w:r>
      <w:r w:rsidRPr="0000363E">
        <w:rPr>
          <w:rFonts w:ascii="FrankRuehl" w:hAnsi="FrankRuehl" w:cs="FrankRuehl" w:hint="cs"/>
          <w:b/>
          <w:bCs/>
          <w:sz w:val="28"/>
          <w:szCs w:val="28"/>
          <w:rtl/>
        </w:rPr>
        <w:t>בהינתן שהמבקשת עצמה, כמפורט לעיל, חוזרת ומתראיינת במדיות השונות כשהיא מפרטת בעצמה פרטים אלו וכאלו</w:t>
      </w:r>
      <w:r w:rsidRPr="0000363E">
        <w:rPr>
          <w:rFonts w:ascii="FrankRuehl" w:hAnsi="FrankRuehl" w:cs="FrankRuehl" w:hint="cs"/>
          <w:sz w:val="28"/>
          <w:szCs w:val="28"/>
          <w:rtl/>
        </w:rPr>
        <w:t>.</w:t>
      </w:r>
    </w:p>
    <w:p w:rsidR="0030584C" w:rsidRPr="001011A7" w:rsidRDefault="0030584C" w:rsidP="00CD6707">
      <w:pPr>
        <w:pStyle w:val="af"/>
        <w:rPr>
          <w:rFonts w:ascii="FrankRuehl" w:hAnsi="FrankRuehl" w:cs="FrankRuehl"/>
          <w:sz w:val="28"/>
          <w:szCs w:val="28"/>
          <w:rtl/>
        </w:rPr>
      </w:pPr>
    </w:p>
    <w:p w:rsidR="0060632C" w:rsidRDefault="0060632C" w:rsidP="0000363E">
      <w:pPr>
        <w:pStyle w:val="af"/>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lastRenderedPageBreak/>
        <w:t xml:space="preserve">טענות המבקשת כי יש ליתן צו מכוח סעיף 3 לחוק למניעת אלימות במשפחה, התשנ"א-1991 אין בהם לשנות ממסקנתי. </w:t>
      </w:r>
      <w:r w:rsidR="00DD3948">
        <w:rPr>
          <w:rFonts w:ascii="FrankRuehl" w:hAnsi="FrankRuehl" w:cs="FrankRuehl" w:hint="cs"/>
          <w:sz w:val="28"/>
          <w:szCs w:val="28"/>
          <w:rtl/>
        </w:rPr>
        <w:t>ראשית, כפי שציינתי לא הוכח כי הצדדים היו ידועים בציבור, כך שזהות הצדדים אינה "בני משפחה</w:t>
      </w:r>
      <w:r w:rsidR="003E1FED">
        <w:rPr>
          <w:rFonts w:ascii="FrankRuehl" w:hAnsi="FrankRuehl" w:cs="FrankRuehl" w:hint="cs"/>
          <w:sz w:val="28"/>
          <w:szCs w:val="28"/>
          <w:rtl/>
        </w:rPr>
        <w:t xml:space="preserve">". שנית, </w:t>
      </w:r>
      <w:r>
        <w:rPr>
          <w:rFonts w:ascii="FrankRuehl" w:hAnsi="FrankRuehl" w:cs="FrankRuehl" w:hint="cs"/>
          <w:sz w:val="28"/>
          <w:szCs w:val="28"/>
          <w:rtl/>
        </w:rPr>
        <w:t xml:space="preserve">משחלף זמן בין הפרסומים למועד הגשת </w:t>
      </w:r>
      <w:r w:rsidR="00D62F6E">
        <w:rPr>
          <w:rFonts w:ascii="FrankRuehl" w:hAnsi="FrankRuehl" w:cs="FrankRuehl" w:hint="cs"/>
          <w:sz w:val="28"/>
          <w:szCs w:val="28"/>
          <w:rtl/>
        </w:rPr>
        <w:t>התובענה</w:t>
      </w:r>
      <w:r>
        <w:rPr>
          <w:rFonts w:ascii="FrankRuehl" w:hAnsi="FrankRuehl" w:cs="FrankRuehl" w:hint="cs"/>
          <w:sz w:val="28"/>
          <w:szCs w:val="28"/>
          <w:rtl/>
        </w:rPr>
        <w:t>, לא ניתן לומר כי מדובר במי שמתעלל בבן משפחתו התעללות נפשית מתמשכת או מאפשר לבן משפחתו לנהל אורח חיים תקין וסביר. כאמור, המבקשת עצמה ממשיכה ומתראיינת לא אחת בנוגע לנסיבות שהן בבסיס הסכסוך כאן</w:t>
      </w:r>
      <w:r w:rsidR="0000363E">
        <w:rPr>
          <w:rFonts w:ascii="FrankRuehl" w:hAnsi="FrankRuehl" w:cs="FrankRuehl" w:hint="cs"/>
          <w:sz w:val="28"/>
          <w:szCs w:val="28"/>
          <w:rtl/>
        </w:rPr>
        <w:t xml:space="preserve">, </w:t>
      </w:r>
      <w:r>
        <w:rPr>
          <w:rFonts w:ascii="FrankRuehl" w:hAnsi="FrankRuehl" w:cs="FrankRuehl" w:hint="cs"/>
          <w:sz w:val="28"/>
          <w:szCs w:val="28"/>
          <w:rtl/>
        </w:rPr>
        <w:t xml:space="preserve">אם </w:t>
      </w:r>
      <w:r w:rsidR="0000363E">
        <w:rPr>
          <w:rFonts w:ascii="FrankRuehl" w:hAnsi="FrankRuehl" w:cs="FrankRuehl" w:hint="cs"/>
          <w:sz w:val="28"/>
          <w:szCs w:val="28"/>
          <w:rtl/>
        </w:rPr>
        <w:t>בנוגע ליחסיה עם</w:t>
      </w:r>
      <w:r>
        <w:rPr>
          <w:rFonts w:ascii="FrankRuehl" w:hAnsi="FrankRuehl" w:cs="FrankRuehl" w:hint="cs"/>
          <w:sz w:val="28"/>
          <w:szCs w:val="28"/>
          <w:rtl/>
        </w:rPr>
        <w:t xml:space="preserve"> המשיב, ואם בנוגע לטענות בעניין פרשת רצח תאיר ראדה ז"ל.</w:t>
      </w:r>
    </w:p>
    <w:p w:rsidR="0060632C" w:rsidRPr="0060632C" w:rsidRDefault="0060632C" w:rsidP="0060632C">
      <w:pPr>
        <w:pStyle w:val="af"/>
        <w:rPr>
          <w:rFonts w:ascii="FrankRuehl" w:hAnsi="FrankRuehl" w:cs="FrankRuehl"/>
          <w:sz w:val="28"/>
          <w:szCs w:val="28"/>
          <w:rtl/>
        </w:rPr>
      </w:pPr>
    </w:p>
    <w:p w:rsidR="0000363E" w:rsidRPr="0000363E" w:rsidRDefault="0060632C" w:rsidP="00626AA8">
      <w:pPr>
        <w:pStyle w:val="af"/>
        <w:numPr>
          <w:ilvl w:val="0"/>
          <w:numId w:val="1"/>
        </w:numPr>
        <w:spacing w:line="360" w:lineRule="auto"/>
        <w:jc w:val="both"/>
        <w:rPr>
          <w:rFonts w:ascii="FrankRuehl" w:hAnsi="FrankRuehl" w:cs="FrankRuehl"/>
          <w:sz w:val="28"/>
          <w:szCs w:val="28"/>
        </w:rPr>
      </w:pPr>
      <w:r w:rsidRPr="00626AA8">
        <w:rPr>
          <w:rFonts w:ascii="FrankRuehl" w:hAnsi="FrankRuehl" w:cs="FrankRuehl" w:hint="cs"/>
          <w:b/>
          <w:bCs/>
          <w:sz w:val="28"/>
          <w:szCs w:val="28"/>
          <w:rtl/>
        </w:rPr>
        <w:t xml:space="preserve">לאור האמור </w:t>
      </w:r>
      <w:r w:rsidR="0000363E">
        <w:rPr>
          <w:rFonts w:ascii="FrankRuehl" w:hAnsi="FrankRuehl" w:cs="FrankRuehl" w:hint="cs"/>
          <w:b/>
          <w:bCs/>
          <w:sz w:val="28"/>
          <w:szCs w:val="28"/>
          <w:rtl/>
        </w:rPr>
        <w:t>התובענה נדחית.</w:t>
      </w:r>
    </w:p>
    <w:p w:rsidR="0000363E" w:rsidRPr="0000363E" w:rsidRDefault="0000363E" w:rsidP="0000363E">
      <w:pPr>
        <w:pStyle w:val="af"/>
        <w:rPr>
          <w:rFonts w:ascii="FrankRuehl" w:hAnsi="FrankRuehl" w:cs="FrankRuehl"/>
          <w:sz w:val="28"/>
          <w:szCs w:val="28"/>
          <w:rtl/>
        </w:rPr>
      </w:pPr>
    </w:p>
    <w:p w:rsidR="0000363E" w:rsidRPr="0000363E" w:rsidRDefault="0000363E" w:rsidP="0000363E">
      <w:pPr>
        <w:spacing w:line="360" w:lineRule="auto"/>
        <w:jc w:val="both"/>
        <w:rPr>
          <w:rFonts w:ascii="FrankRuehl" w:hAnsi="FrankRuehl" w:cs="FrankRuehl"/>
          <w:sz w:val="28"/>
          <w:szCs w:val="28"/>
        </w:rPr>
      </w:pPr>
      <w:r>
        <w:rPr>
          <w:rFonts w:ascii="FrankRuehl" w:hAnsi="FrankRuehl" w:cs="FrankRuehl" w:hint="cs"/>
          <w:sz w:val="28"/>
          <w:szCs w:val="28"/>
          <w:rtl/>
        </w:rPr>
        <w:t>לפנים משורת הדין, הואיל והמשיב אינו מיוצג, אין צו להוצאות.</w:t>
      </w:r>
    </w:p>
    <w:p w:rsidR="00CF7CDC" w:rsidRPr="0000363E" w:rsidRDefault="00CF7CDC" w:rsidP="00CF7CDC">
      <w:pPr>
        <w:pStyle w:val="af"/>
        <w:rPr>
          <w:rFonts w:ascii="FrankRuehl" w:hAnsi="FrankRuehl" w:cs="FrankRuehl"/>
          <w:sz w:val="28"/>
          <w:szCs w:val="28"/>
          <w:rtl/>
        </w:rPr>
      </w:pPr>
    </w:p>
    <w:p w:rsidR="00B96DCE" w:rsidRPr="00CF184A" w:rsidRDefault="00B96DCE" w:rsidP="00B96DCE">
      <w:pPr>
        <w:spacing w:line="360" w:lineRule="auto"/>
        <w:ind w:left="720" w:hanging="720"/>
        <w:jc w:val="both"/>
        <w:rPr>
          <w:rFonts w:ascii="FrankRuehl" w:hAnsi="FrankRuehl" w:cs="FrankRuehl"/>
          <w:b/>
          <w:bCs/>
          <w:noProof w:val="0"/>
          <w:sz w:val="28"/>
          <w:szCs w:val="28"/>
          <w:u w:val="single"/>
          <w:rtl/>
        </w:rPr>
      </w:pPr>
      <w:r w:rsidRPr="00CF184A">
        <w:rPr>
          <w:rFonts w:ascii="FrankRuehl" w:hAnsi="FrankRuehl" w:cs="FrankRuehl"/>
          <w:b/>
          <w:bCs/>
          <w:noProof w:val="0"/>
          <w:sz w:val="28"/>
          <w:szCs w:val="28"/>
          <w:u w:val="single"/>
          <w:rtl/>
        </w:rPr>
        <w:t>המזכירות תמציא לצדדים.</w:t>
      </w:r>
    </w:p>
    <w:p w:rsidR="00B96DCE" w:rsidRPr="00CF184A" w:rsidRDefault="0000363E" w:rsidP="004D5614">
      <w:pPr>
        <w:spacing w:line="360" w:lineRule="auto"/>
        <w:jc w:val="both"/>
        <w:rPr>
          <w:rFonts w:ascii="FrankRuehl" w:hAnsi="FrankRuehl" w:cs="FrankRuehl"/>
          <w:b/>
          <w:bCs/>
          <w:noProof w:val="0"/>
          <w:sz w:val="28"/>
          <w:szCs w:val="28"/>
          <w:rtl/>
        </w:rPr>
      </w:pPr>
      <w:r>
        <w:rPr>
          <w:rFonts w:ascii="FrankRuehl" w:hAnsi="FrankRuehl" w:cs="FrankRuehl" w:hint="cs"/>
          <w:b/>
          <w:bCs/>
          <w:noProof w:val="0"/>
          <w:sz w:val="28"/>
          <w:szCs w:val="28"/>
          <w:u w:val="single"/>
          <w:rtl/>
        </w:rPr>
        <w:t>בהינתן שפסה"ד ניתן בסמכותי כבית משפט שלום אך הוגש לבית המשפט לענייני משפחה, אני מעכבת פרסום פסה"ד למשך 1</w:t>
      </w:r>
      <w:r w:rsidR="004D5614">
        <w:rPr>
          <w:rFonts w:ascii="FrankRuehl" w:hAnsi="FrankRuehl" w:cs="FrankRuehl" w:hint="cs"/>
          <w:b/>
          <w:bCs/>
          <w:noProof w:val="0"/>
          <w:sz w:val="28"/>
          <w:szCs w:val="28"/>
          <w:u w:val="single"/>
          <w:rtl/>
        </w:rPr>
        <w:t>4</w:t>
      </w:r>
      <w:r>
        <w:rPr>
          <w:rFonts w:ascii="FrankRuehl" w:hAnsi="FrankRuehl" w:cs="FrankRuehl" w:hint="cs"/>
          <w:b/>
          <w:bCs/>
          <w:noProof w:val="0"/>
          <w:sz w:val="28"/>
          <w:szCs w:val="28"/>
          <w:u w:val="single"/>
          <w:rtl/>
        </w:rPr>
        <w:t xml:space="preserve"> יום </w:t>
      </w:r>
      <w:r w:rsidR="00526D90">
        <w:rPr>
          <w:rFonts w:ascii="FrankRuehl" w:hAnsi="FrankRuehl" w:cs="FrankRuehl"/>
          <w:b/>
          <w:bCs/>
          <w:noProof w:val="0"/>
          <w:sz w:val="28"/>
          <w:szCs w:val="28"/>
          <w:u w:val="single"/>
          <w:rtl/>
        </w:rPr>
        <w:t>–</w:t>
      </w:r>
      <w:r>
        <w:rPr>
          <w:rFonts w:ascii="FrankRuehl" w:hAnsi="FrankRuehl" w:cs="FrankRuehl" w:hint="cs"/>
          <w:b/>
          <w:bCs/>
          <w:noProof w:val="0"/>
          <w:sz w:val="28"/>
          <w:szCs w:val="28"/>
          <w:u w:val="single"/>
          <w:rtl/>
        </w:rPr>
        <w:t xml:space="preserve"> ע</w:t>
      </w:r>
      <w:r w:rsidR="00526D90">
        <w:rPr>
          <w:rFonts w:ascii="FrankRuehl" w:hAnsi="FrankRuehl" w:cs="FrankRuehl" w:hint="cs"/>
          <w:b/>
          <w:bCs/>
          <w:noProof w:val="0"/>
          <w:sz w:val="28"/>
          <w:szCs w:val="28"/>
          <w:u w:val="single"/>
          <w:rtl/>
        </w:rPr>
        <w:t xml:space="preserve">ל מנת לאפשר לנקוט בהליך מתאים אם הם חפצים בכך. </w:t>
      </w:r>
    </w:p>
    <w:p w:rsidR="00694556" w:rsidRPr="00CF184A" w:rsidRDefault="00005C8B">
      <w:pPr>
        <w:spacing w:line="360" w:lineRule="auto"/>
        <w:jc w:val="both"/>
        <w:rPr>
          <w:rFonts w:ascii="FrankRuehl" w:hAnsi="FrankRuehl" w:cs="FrankRuehl"/>
          <w:noProof w:val="0"/>
          <w:sz w:val="28"/>
          <w:szCs w:val="28"/>
          <w:rtl/>
        </w:rPr>
      </w:pPr>
      <w:r w:rsidRPr="00CF184A">
        <w:rPr>
          <w:rFonts w:ascii="FrankRuehl" w:hAnsi="FrankRuehl" w:cs="FrankRuehl"/>
          <w:noProof w:val="0"/>
          <w:sz w:val="28"/>
          <w:szCs w:val="28"/>
          <w:rtl/>
        </w:rPr>
        <w:t xml:space="preserve">ניתן היום,  </w:t>
      </w:r>
      <w:sdt>
        <w:sdtPr>
          <w:rPr>
            <w:rFonts w:ascii="FrankRuehl" w:hAnsi="FrankRuehl" w:cs="FrankRuehl"/>
            <w:sz w:val="28"/>
            <w:szCs w:val="28"/>
            <w:rtl/>
          </w:rPr>
          <w:alias w:val="1455"/>
          <w:tag w:val="1455"/>
          <w:id w:val="242217728"/>
          <w:text w:multiLine="1"/>
        </w:sdtPr>
        <w:sdtEndPr/>
        <w:sdtContent>
          <w:r>
            <w:rPr>
              <w:rFonts w:ascii="FrankRuehl" w:hAnsi="FrankRuehl" w:cs="FrankRuehl"/>
              <w:noProof w:val="0"/>
              <w:sz w:val="28"/>
              <w:szCs w:val="28"/>
              <w:rtl/>
            </w:rPr>
            <w:t>כ"ג סיוון תשפ"ג</w:t>
          </w:r>
        </w:sdtContent>
      </w:sdt>
      <w:r w:rsidRPr="00CF184A">
        <w:rPr>
          <w:rFonts w:ascii="FrankRuehl" w:hAnsi="FrankRuehl" w:cs="FrankRuehl"/>
          <w:noProof w:val="0"/>
          <w:sz w:val="28"/>
          <w:szCs w:val="28"/>
          <w:rtl/>
        </w:rPr>
        <w:t xml:space="preserve">, </w:t>
      </w:r>
      <w:sdt>
        <w:sdtPr>
          <w:rPr>
            <w:rFonts w:ascii="FrankRuehl" w:hAnsi="FrankRuehl" w:cs="FrankRuehl"/>
            <w:sz w:val="28"/>
            <w:szCs w:val="28"/>
            <w:rtl/>
          </w:rPr>
          <w:alias w:val="1456"/>
          <w:tag w:val="1456"/>
          <w:id w:val="-1101635932"/>
          <w:text w:multiLine="1"/>
        </w:sdtPr>
        <w:sdtEndPr/>
        <w:sdtContent>
          <w:r>
            <w:rPr>
              <w:rFonts w:ascii="FrankRuehl" w:hAnsi="FrankRuehl" w:cs="FrankRuehl"/>
              <w:noProof w:val="0"/>
              <w:sz w:val="28"/>
              <w:szCs w:val="28"/>
              <w:rtl/>
            </w:rPr>
            <w:t>12 יוני 2023</w:t>
          </w:r>
        </w:sdtContent>
      </w:sdt>
      <w:r w:rsidRPr="00CF184A">
        <w:rPr>
          <w:rFonts w:ascii="FrankRuehl" w:hAnsi="FrankRuehl" w:cs="FrankRuehl"/>
          <w:noProof w:val="0"/>
          <w:sz w:val="28"/>
          <w:szCs w:val="28"/>
          <w:rtl/>
        </w:rPr>
        <w:t>, בהעדר הצדדים.</w:t>
      </w:r>
    </w:p>
    <w:p w:rsidR="005B0F49" w:rsidRPr="00CF184A" w:rsidRDefault="005B0F49" w:rsidP="00633C4F">
      <w:pPr>
        <w:spacing w:line="360" w:lineRule="auto"/>
        <w:jc w:val="both"/>
        <w:rPr>
          <w:rFonts w:ascii="FrankRuehl" w:hAnsi="FrankRuehl" w:cs="FrankRuehl"/>
          <w:noProof w:val="0"/>
          <w:sz w:val="28"/>
          <w:szCs w:val="28"/>
          <w:rtl/>
        </w:rPr>
      </w:pPr>
      <w:r w:rsidRPr="00CF184A">
        <w:rPr>
          <w:rFonts w:ascii="FrankRuehl" w:hAnsi="FrankRuehl" w:cs="FrankRuehl"/>
          <w:noProof w:val="0"/>
          <w:sz w:val="28"/>
          <w:szCs w:val="28"/>
          <w:rtl/>
        </w:rPr>
        <w:tab/>
      </w:r>
      <w:r w:rsidRPr="00CF184A">
        <w:rPr>
          <w:rFonts w:ascii="FrankRuehl" w:hAnsi="FrankRuehl" w:cs="FrankRuehl"/>
          <w:noProof w:val="0"/>
          <w:sz w:val="28"/>
          <w:szCs w:val="28"/>
          <w:rtl/>
        </w:rPr>
        <w:tab/>
      </w:r>
      <w:r w:rsidRPr="00CF184A">
        <w:rPr>
          <w:rFonts w:ascii="FrankRuehl" w:hAnsi="FrankRuehl" w:cs="FrankRuehl"/>
          <w:noProof w:val="0"/>
          <w:sz w:val="28"/>
          <w:szCs w:val="28"/>
          <w:rtl/>
        </w:rPr>
        <w:tab/>
      </w:r>
      <w:r w:rsidRPr="00CF184A">
        <w:rPr>
          <w:rFonts w:ascii="FrankRuehl" w:hAnsi="FrankRuehl" w:cs="FrankRuehl"/>
          <w:noProof w:val="0"/>
          <w:sz w:val="28"/>
          <w:szCs w:val="28"/>
          <w:rtl/>
        </w:rPr>
        <w:tab/>
      </w:r>
      <w:r w:rsidRPr="00CF184A">
        <w:rPr>
          <w:rFonts w:ascii="FrankRuehl" w:hAnsi="FrankRuehl" w:cs="FrankRuehl"/>
          <w:noProof w:val="0"/>
          <w:sz w:val="28"/>
          <w:szCs w:val="28"/>
          <w:rtl/>
        </w:rPr>
        <w:tab/>
      </w:r>
      <w:r w:rsidR="00633C4F" w:rsidRPr="00CF184A">
        <w:rPr>
          <w:rFonts w:ascii="FrankRuehl" w:hAnsi="FrankRuehl" w:cs="FrankRuehl"/>
          <w:noProof w:val="0"/>
          <w:sz w:val="28"/>
          <w:szCs w:val="28"/>
          <w:rtl/>
        </w:rPr>
        <w:tab/>
      </w:r>
      <w:sdt>
        <w:sdtPr>
          <w:rPr>
            <w:rFonts w:ascii="FrankRuehl" w:hAnsi="FrankRuehl" w:cs="FrankRuehl"/>
            <w:noProof w:val="0"/>
            <w:sz w:val="28"/>
            <w:szCs w:val="28"/>
            <w:rtl/>
          </w:rPr>
          <w:alias w:val="2045"/>
          <w:tag w:val="2045"/>
          <w:id w:val="1736736771"/>
          <w:placeholder>
            <w:docPart w:val="03459962B6984C23A2D5882F7D086C2E"/>
          </w:placeholder>
          <w:showingPlcHdr/>
          <w:text w:multiLine="1"/>
        </w:sdtPr>
        <w:sdtEndPr/>
        <w:sdtContent/>
      </w:sdt>
      <w:r w:rsidRPr="00CF184A">
        <w:rPr>
          <w:rFonts w:ascii="FrankRuehl" w:hAnsi="FrankRuehl" w:cs="FrankRuehl"/>
          <w:noProof w:val="0"/>
          <w:sz w:val="28"/>
          <w:szCs w:val="28"/>
          <w:rtl/>
        </w:rPr>
        <w:tab/>
      </w:r>
      <w:r w:rsidRPr="00CF184A">
        <w:rPr>
          <w:rFonts w:ascii="FrankRuehl" w:hAnsi="FrankRuehl" w:cs="FrankRuehl"/>
          <w:noProof w:val="0"/>
          <w:sz w:val="28"/>
          <w:szCs w:val="28"/>
          <w:rtl/>
        </w:rPr>
        <w:tab/>
      </w:r>
      <w:r w:rsidR="00633C4F" w:rsidRPr="00CF184A">
        <w:rPr>
          <w:rFonts w:ascii="FrankRuehl" w:hAnsi="FrankRuehl" w:cs="FrankRuehl"/>
          <w:noProof w:val="0"/>
          <w:sz w:val="28"/>
          <w:szCs w:val="28"/>
          <w:rtl/>
        </w:rPr>
        <w:t xml:space="preserve"> </w:t>
      </w:r>
    </w:p>
    <w:p w:rsidR="00694556" w:rsidRPr="00CF184A" w:rsidRDefault="000048A0" w:rsidP="005A5868">
      <w:pPr>
        <w:spacing w:line="360" w:lineRule="auto"/>
        <w:ind w:left="3600" w:firstLine="720"/>
      </w:pPr>
      <w:sdt>
        <w:sdtPr>
          <w:rPr>
            <w:rtl/>
          </w:rPr>
          <w:alias w:val="MergeField"/>
          <w:tag w:val="1237"/>
          <w:id w:val="-1151981458"/>
        </w:sdtPr>
        <w:sdtEndPr/>
        <w:sdtContent>
          <w:r w:rsidR="00FF13FD">
            <w:drawing>
              <wp:inline distT="0" distB="0" distL="0" distR="0" wp14:editId="50D07946">
                <wp:extent cx="1647825" cy="904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647825" cy="904875"/>
                        </a:xfrm>
                        <a:prstGeom prst="rect">
                          <a:avLst/>
                        </a:prstGeom>
                      </pic:spPr>
                    </pic:pic>
                  </a:graphicData>
                </a:graphic>
              </wp:inline>
            </w:drawing>
          </w:r>
        </w:sdtContent>
      </w:sdt>
    </w:p>
    <w:p w:rsidR="00694556" w:rsidRPr="00CF184A" w:rsidRDefault="00694556" w:rsidP="005A5868">
      <w:pPr>
        <w:spacing w:line="360" w:lineRule="auto"/>
        <w:ind w:left="3600" w:firstLine="720"/>
        <w:rPr>
          <w:rFonts w:ascii="FrankRuehl" w:hAnsi="FrankRuehl" w:cs="FrankRuehl"/>
          <w:noProof w:val="0"/>
          <w:sz w:val="28"/>
          <w:szCs w:val="28"/>
          <w:rtl/>
        </w:rPr>
      </w:pPr>
    </w:p>
    <w:sectPr w:rsidR="00694556" w:rsidRPr="00CF184A" w:rsidSect="00E02538">
      <w:headerReference w:type="default" r:id="rId9"/>
      <w:footerReference w:type="default" r:id="rId10"/>
      <w:pgSz w:w="11907" w:h="16840" w:code="9"/>
      <w:pgMar w:top="720" w:right="1701" w:bottom="993"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048A0">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048A0">
      <w:rPr>
        <w:rStyle w:val="ab"/>
        <w:rtl/>
      </w:rPr>
      <w:t>9</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0048A0">
    <w:pPr>
      <w:pStyle w:val="a3"/>
      <w:jc w:val="center"/>
      <w:rPr>
        <w:rFonts w:cs="FrankRuehl"/>
        <w:noProof w:val="0"/>
        <w:sz w:val="28"/>
        <w:szCs w:val="28"/>
        <w:rtl/>
      </w:rPr>
    </w:pPr>
    <w:r>
      <w:rPr>
        <w:rFonts w:cs="FrankRuehl"/>
        <w:sz w:val="28"/>
        <w:szCs w:val="28"/>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26978" type="#_x0000_t136" style="position:absolute;left:0;text-align:left;margin-left:0;margin-top:0;width:478.1pt;height:86.95pt;rotation:315;z-index:251659264;mso-position-horizontal:center;mso-position-horizontal-relative:margin;mso-position-vertical:center;mso-position-vertical-relative:margin" fillcolor="silver" stroked="f">
          <v:stroke r:id="rId1" o:title=""/>
          <v:shadow color="#868686"/>
          <v:textpath style="font-family:&quot;Times New Roman&quot;;font-size:1pt;v-text-kern:t" trim="t" fitpath="t" string="."/>
          <o:lock v:ext="edit" aspectratio="t"/>
          <w10:wrap anchorx="margin" anchory="margin"/>
        </v:shape>
      </w:pict>
    </w:r>
    <w:r w:rsidR="001277D7">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42619A">
      <w:trPr>
        <w:trHeight w:hRule="exact" w:val="670"/>
        <w:jc w:val="center"/>
      </w:trPr>
      <w:sdt>
        <w:sdtPr>
          <w:rPr>
            <w:rtl/>
          </w:rPr>
          <w:alias w:val="1174"/>
          <w:tag w:val="1174"/>
          <w:id w:val="-1775709220"/>
          <w:text/>
        </w:sdtPr>
        <w:sdtEndPr/>
        <w:sdtContent>
          <w:tc>
            <w:tcPr>
              <w:tcW w:w="8505" w:type="dxa"/>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rsidTr="0042619A">
      <w:trPr>
        <w:trHeight w:val="337"/>
        <w:jc w:val="center"/>
      </w:trPr>
      <w:tc>
        <w:tcPr>
          <w:tcW w:w="8505" w:type="dxa"/>
        </w:tcPr>
        <w:p w:rsidR="00957C90" w:rsidRPr="00165F08" w:rsidRDefault="00E44DDF" w:rsidP="0042619A">
          <w:pPr>
            <w:rPr>
              <w:rFonts w:ascii="FrankRuehl" w:hAnsi="FrankRuehl" w:cs="FrankRuehl"/>
              <w:b/>
              <w:bCs/>
              <w:noProof w:val="0"/>
              <w:sz w:val="28"/>
              <w:szCs w:val="28"/>
              <w:rtl/>
            </w:rPr>
          </w:pPr>
          <w:r w:rsidRPr="00165F08">
            <w:rPr>
              <w:rFonts w:ascii="FrankRuehl" w:hAnsi="FrankRuehl" w:cs="FrankRuehl"/>
              <w:b/>
              <w:bCs/>
              <w:noProof w:val="0"/>
              <w:sz w:val="28"/>
              <w:szCs w:val="28"/>
              <w:rtl/>
            </w:rPr>
            <w:t>ה"ט</w:t>
          </w:r>
          <w:r w:rsidR="00005C8B" w:rsidRPr="00165F08">
            <w:rPr>
              <w:rFonts w:ascii="FrankRuehl" w:hAnsi="FrankRuehl" w:cs="FrankRuehl"/>
              <w:b/>
              <w:bCs/>
              <w:noProof w:val="0"/>
              <w:sz w:val="28"/>
              <w:szCs w:val="28"/>
              <w:rtl/>
            </w:rPr>
            <w:t xml:space="preserve"> </w:t>
          </w:r>
          <w:r w:rsidRPr="00165F08">
            <w:rPr>
              <w:rFonts w:ascii="FrankRuehl" w:hAnsi="FrankRuehl" w:cs="FrankRuehl"/>
              <w:b/>
              <w:bCs/>
              <w:noProof w:val="0"/>
              <w:sz w:val="28"/>
              <w:szCs w:val="28"/>
              <w:rtl/>
            </w:rPr>
            <w:t>58087-03-23</w:t>
          </w:r>
          <w:r w:rsidR="00005C8B" w:rsidRPr="00165F08">
            <w:rPr>
              <w:rFonts w:ascii="FrankRuehl" w:hAnsi="FrankRuehl" w:cs="FrankRuehl"/>
              <w:b/>
              <w:bCs/>
              <w:noProof w:val="0"/>
              <w:sz w:val="28"/>
              <w:szCs w:val="28"/>
              <w:rtl/>
            </w:rPr>
            <w:t xml:space="preserve"> </w:t>
          </w:r>
          <w:r w:rsidRPr="00165F08">
            <w:rPr>
              <w:rFonts w:ascii="FrankRuehl" w:hAnsi="FrankRuehl" w:cs="FrankRuehl"/>
              <w:b/>
              <w:bCs/>
              <w:noProof w:val="0"/>
              <w:sz w:val="28"/>
              <w:szCs w:val="28"/>
              <w:rtl/>
            </w:rPr>
            <w:t>קראבצנקו נ' חבני</w:t>
          </w:r>
          <w:r w:rsidR="005C7EC6" w:rsidRPr="00165F08">
            <w:rPr>
              <w:rFonts w:ascii="FrankRuehl" w:hAnsi="FrankRuehl" w:cs="FrankRuehl"/>
              <w:sz w:val="28"/>
              <w:szCs w:val="28"/>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975A88"/>
    <w:multiLevelType w:val="hybridMultilevel"/>
    <w:tmpl w:val="57109A16"/>
    <w:lvl w:ilvl="0" w:tplc="81D2E156">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E66E5C"/>
    <w:multiLevelType w:val="hybridMultilevel"/>
    <w:tmpl w:val="99BC6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8C2A11"/>
    <w:multiLevelType w:val="hybridMultilevel"/>
    <w:tmpl w:val="ACC23C5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0F87087"/>
    <w:multiLevelType w:val="hybridMultilevel"/>
    <w:tmpl w:val="99BC6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cumentProtection w:edit="readOnly" w:enforcement="1" w:cryptProviderType="rsaAES" w:cryptAlgorithmClass="hash" w:cryptAlgorithmType="typeAny" w:cryptAlgorithmSid="14" w:cryptSpinCount="100000" w:hash="TFSG7GQ52tIpSsiDeCMQEo57dnnovXgrv1CIu2QJMYZECfMcXkeql84BvMMX7K5XIKKXULMOnoeGYOaicxfvqg==" w:salt="FYh++tq4cYqQRf9XNcOVmA=="/>
  <w:defaultTabStop w:val="720"/>
  <w:characterSpacingControl w:val="doNotCompress"/>
  <w:hdrShapeDefaults>
    <o:shapedefaults v:ext="edit" spidmax="126979"/>
    <o:shapelayout v:ext="edit">
      <o:idmap v:ext="edit" data="12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122255"/>
    <w:docVar w:name="CourtID" w:val="26"/>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0122255&amp;lt;/CaseID&amp;gt;_x000d__x000a_        &amp;lt;DocumentID&amp;gt;422270793&amp;lt;/DocumentID&amp;gt;_x000d__x000a_      &amp;lt;/dt_DocumentCase&amp;gt;_x000d__x000a_      &amp;lt;dt_Document diffgr:id=&amp;quot;dt_Document1&amp;quot; msdata:rowOrder=&amp;quot;0&amp;quot; diffgr:hasChanges=&amp;quot;modified&amp;quot;&amp;gt;_x000d__x000a_        &amp;lt;DocumentID&amp;gt;422270793&amp;lt;/DocumentID&amp;gt;_x000d__x000a_        &amp;lt;DocumentMainID&amp;gt;0&amp;lt;/DocumentMainID&amp;gt;_x000d__x000a_        &amp;lt;CaseID&amp;gt;80122255&amp;lt;/CaseID&amp;gt;_x000d__x000a_        &amp;lt;DocumentIncludedDate&amp;gt;2023-09-21T15:30:24.787+03:00&amp;lt;/DocumentIncludedDate&amp;gt;_x000d__x000a_        &amp;lt;DocumentDesc&amp;gt;פסק דין  שניתנה ע&amp;quot;י  הילה גורביץ עובדיה&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09-21T15:30:24.787+03:00&amp;lt;/DocumentSavingDate&amp;gt;_x000d__x000a_        &amp;lt;DocumentChangeDate&amp;gt;2023-09-26T13:06:48.877+03:00&amp;lt;/DocumentChangeDate&amp;gt;_x000d__x000a_        &amp;lt;IsScanned&amp;gt;false&amp;lt;/IsScanned&amp;gt;_x000d__x000a_        &amp;lt;PageQuantity&amp;gt;0&amp;lt;/PageQuantity&amp;gt;_x000d__x000a_        &amp;lt;DocumentStatusID&amp;gt;2&amp;lt;/DocumentStatusID&amp;gt;_x000d__x000a_        &amp;lt;DocumentStatusChangeDate&amp;gt;2023-09-21T15:30:25.02+03:00&amp;lt;/DocumentStatusChangeDate&amp;gt;_x000d__x000a_        &amp;lt;TemplateVersionID&amp;gt;1&amp;lt;/TemplateVersionID&amp;gt;_x000d__x000a_        &amp;lt;DocumentChangeUserID&amp;gt;033955378@GOV.IL&amp;lt;/DocumentChangeUserID&amp;gt;_x000d__x000a_        &amp;lt;DocumentCreationUserID&amp;gt;028651073@GOV.IL&amp;lt;/DocumentCreationUserID&amp;gt;_x000d__x000a_        &amp;lt;OriginalDocumentID&amp;gt;413228816&amp;lt;/OriginalDocumentID&amp;gt;_x000d__x000a_        &amp;lt;PrivillegeID&amp;gt;2&amp;lt;/PrivillegeID&amp;gt;_x000d__x000a_        &amp;lt;FromPage&amp;gt;0&amp;lt;/FromPage&amp;gt;_x000d__x000a_        &amp;lt;ToPage&amp;gt;0&amp;lt;/ToPage&amp;gt;_x000d__x000a_        &amp;lt;FileID&amp;gt;1252b8b78a010000090037f6a7ce99bf&amp;lt;/FileID&amp;gt;_x000d__x000a_        &amp;lt;CaseDisplayNumber&amp;gt;58087-03-23&amp;lt;/CaseDisplayNumber&amp;gt;_x000d__x000a_        &amp;lt;URL&amp;gt;\\CTLNFSV02\doc_repository\631\981\1252b8b78a010000090037f6a7ce99bf.docx&amp;lt;/URL&amp;gt;_x000d__x000a_        &amp;lt;OlivePriority&amp;gt;1&amp;lt;/OlivePriority&amp;gt;_x000d__x000a_        &amp;lt;MetaDataTypeID&amp;gt;1&amp;lt;/MetaDataTypeID&amp;gt;_x000d__x000a_        &amp;lt;MetaDataChangeDate&amp;gt;2023-09-21T15:30:25.02+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הילה גורביץ עובדיה&amp;amp;lt;/anyType&amp;amp;gt;_x000d__x000a_    &amp;amp;lt;anyType xsi:type=&amp;quot;xsd:dateTime&amp;quot;&amp;amp;gt;2023-06-12T13:20:38.2441861&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6-12T13:20:38.243+03:00&amp;lt;/PresentationDate&amp;gt;_x000d__x000a_      &amp;lt;/dt_Document&amp;gt;_x000d__x000a_    &amp;lt;/DocumentDS&amp;gt;_x000d__x000a_    &amp;lt;diffgr:before&amp;gt;_x000d__x000a_      &amp;lt;dt_Document diffgr:id=&amp;quot;dt_Document1&amp;quot; msdata:rowOrder=&amp;quot;0&amp;quot; xmlns=&amp;quot;http://www.tempuri.org/DocumentDS.xsd&amp;quot;&amp;gt;_x000d__x000a_        &amp;lt;DocumentID&amp;gt;422270793&amp;lt;/DocumentID&amp;gt;_x000d__x000a_        &amp;lt;DocumentMainID&amp;gt;0&amp;lt;/DocumentMainID&amp;gt;_x000d__x000a_        &amp;lt;CaseID&amp;gt;80122255&amp;lt;/CaseID&amp;gt;_x000d__x000a_        &amp;lt;DocumentIncludedDate&amp;gt;2023-09-21T15:30:24.787+03:00&amp;lt;/DocumentIncludedDate&amp;gt;_x000d__x000a_        &amp;lt;DocumentDesc&amp;gt;פסק דין  שניתנה ע&amp;quot;י  הילה גורביץ עובדיה&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09-21T15:30:24.787+03:00&amp;lt;/DocumentSavingDate&amp;gt;_x000d__x000a_        &amp;lt;DocumentChangeDate&amp;gt;2023-09-26T13:06:48.877+03:00&amp;lt;/DocumentChangeDate&amp;gt;_x000d__x000a_        &amp;lt;IsScanned&amp;gt;false&amp;lt;/IsScanned&amp;gt;_x000d__x000a_        &amp;lt;PageQuantity&amp;gt;0&amp;lt;/PageQuantity&amp;gt;_x000d__x000a_        &amp;lt;DocumentStatusID&amp;gt;2&amp;lt;/DocumentStatusID&amp;gt;_x000d__x000a_        &amp;lt;DocumentStatusChangeDate&amp;gt;2023-09-21T15:30:25.02+03:00&amp;lt;/DocumentStatusChangeDate&amp;gt;_x000d__x000a_        &amp;lt;TemplateVersionID&amp;gt;1&amp;lt;/TemplateVersionID&amp;gt;_x000d__x000a_        &amp;lt;DocumentChangeUserID&amp;gt;033955378@GOV.IL&amp;lt;/DocumentChangeUserID&amp;gt;_x000d__x000a_        &amp;lt;DocumentCreationUserID&amp;gt;028651073@GOV.IL&amp;lt;/DocumentCreationUserID&amp;gt;_x000d__x000a_        &amp;lt;OriginalDocumentID&amp;gt;413228816&amp;lt;/OriginalDocumentID&amp;gt;_x000d__x000a_        &amp;lt;PrivillegeID&amp;gt;2&amp;lt;/PrivillegeID&amp;gt;_x000d__x000a_        &amp;lt;FromPage&amp;gt;0&amp;lt;/FromPage&amp;gt;_x000d__x000a_        &amp;lt;ToPage&amp;gt;0&amp;lt;/ToPage&amp;gt;_x000d__x000a_        &amp;lt;FileID&amp;gt;1252b8b78a010000090037f6a7ce99bf&amp;lt;/FileID&amp;gt;_x000d__x000a_        &amp;lt;CaseDisplayNumber&amp;gt;58087-03-23&amp;lt;/CaseDisplayNumber&amp;gt;_x000d__x000a_        &amp;lt;URL /&amp;gt;_x000d__x000a_        &amp;lt;OlivePriority&amp;gt;1&amp;lt;/OlivePriority&amp;gt;_x000d__x000a_        &amp;lt;MetaDataTypeID&amp;gt;1&amp;lt;/MetaDataTypeID&amp;gt;_x000d__x000a_        &amp;lt;MetaDataChangeDate&amp;gt;2023-09-21T15:30:25.02+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הילה גורביץ עובדיה&amp;amp;lt;/anyType&amp;amp;gt;_x000d__x000a_    &amp;amp;lt;anyType xsi:type=&amp;quot;xsd:dateTime&amp;quot;&amp;amp;gt;2023-06-12T13:20:38.2441861&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6-12T13:20:38.243+03:00&amp;lt;/PresentationDate&amp;gt;_x000d__x000a_      &amp;lt;/dt_Document&amp;gt;_x000d__x000a_    &amp;lt;/diffgr:before&amp;gt;_x000d__x000a_  &amp;lt;/diffgr:diffgram&amp;gt;_x000d__x000a_&amp;lt;/DocumentDS&amp;gt;"/>
    <w:docVar w:name="WordClientAssemblyName" w:val="NGCS.Decision.ClientWordBL"/>
    <w:docVar w:name="WordClientClassName" w:val="NGCS.Decision.ClientWordBL.VersionWordClient"/>
  </w:docVars>
  <w:rsids>
    <w:rsidRoot w:val="00694556"/>
    <w:rsid w:val="0000363E"/>
    <w:rsid w:val="000048A0"/>
    <w:rsid w:val="00005C8B"/>
    <w:rsid w:val="00013BFC"/>
    <w:rsid w:val="000146C2"/>
    <w:rsid w:val="00016C35"/>
    <w:rsid w:val="000258FD"/>
    <w:rsid w:val="000371B1"/>
    <w:rsid w:val="000564AB"/>
    <w:rsid w:val="000925AD"/>
    <w:rsid w:val="000A7EE7"/>
    <w:rsid w:val="000D29E8"/>
    <w:rsid w:val="000D4A02"/>
    <w:rsid w:val="000E4C12"/>
    <w:rsid w:val="001011A7"/>
    <w:rsid w:val="001058ED"/>
    <w:rsid w:val="001072A9"/>
    <w:rsid w:val="00121F97"/>
    <w:rsid w:val="00126D32"/>
    <w:rsid w:val="001277D7"/>
    <w:rsid w:val="00132017"/>
    <w:rsid w:val="00140E0A"/>
    <w:rsid w:val="0014234E"/>
    <w:rsid w:val="0014443C"/>
    <w:rsid w:val="00145A87"/>
    <w:rsid w:val="0015054B"/>
    <w:rsid w:val="00154C4C"/>
    <w:rsid w:val="001613E1"/>
    <w:rsid w:val="00165F08"/>
    <w:rsid w:val="001768F3"/>
    <w:rsid w:val="001A1B53"/>
    <w:rsid w:val="001B0D6E"/>
    <w:rsid w:val="001C4003"/>
    <w:rsid w:val="001F5474"/>
    <w:rsid w:val="00203A82"/>
    <w:rsid w:val="00207C9E"/>
    <w:rsid w:val="00220F4F"/>
    <w:rsid w:val="002352F7"/>
    <w:rsid w:val="0023626C"/>
    <w:rsid w:val="0027277D"/>
    <w:rsid w:val="002C5CDE"/>
    <w:rsid w:val="0030584C"/>
    <w:rsid w:val="00325AEC"/>
    <w:rsid w:val="0033495B"/>
    <w:rsid w:val="00357C5D"/>
    <w:rsid w:val="00371AC8"/>
    <w:rsid w:val="00381D3A"/>
    <w:rsid w:val="003823DA"/>
    <w:rsid w:val="003B2586"/>
    <w:rsid w:val="003C3ECB"/>
    <w:rsid w:val="003C5DB5"/>
    <w:rsid w:val="003E1FED"/>
    <w:rsid w:val="004072E5"/>
    <w:rsid w:val="0042619A"/>
    <w:rsid w:val="00432BBF"/>
    <w:rsid w:val="0043595F"/>
    <w:rsid w:val="00447049"/>
    <w:rsid w:val="004722A1"/>
    <w:rsid w:val="0047645A"/>
    <w:rsid w:val="00487AD0"/>
    <w:rsid w:val="004A04FD"/>
    <w:rsid w:val="004D49A3"/>
    <w:rsid w:val="004D50AC"/>
    <w:rsid w:val="004D5614"/>
    <w:rsid w:val="004E6E3C"/>
    <w:rsid w:val="004F67F0"/>
    <w:rsid w:val="005124F1"/>
    <w:rsid w:val="00526D90"/>
    <w:rsid w:val="00530BAD"/>
    <w:rsid w:val="00532169"/>
    <w:rsid w:val="00540224"/>
    <w:rsid w:val="00541598"/>
    <w:rsid w:val="00547DB7"/>
    <w:rsid w:val="00567324"/>
    <w:rsid w:val="00574B88"/>
    <w:rsid w:val="00574E49"/>
    <w:rsid w:val="005A5868"/>
    <w:rsid w:val="005B0F49"/>
    <w:rsid w:val="005C7EC6"/>
    <w:rsid w:val="005D084C"/>
    <w:rsid w:val="005D18C9"/>
    <w:rsid w:val="005D4BDB"/>
    <w:rsid w:val="005F1D38"/>
    <w:rsid w:val="0060632C"/>
    <w:rsid w:val="00622BAA"/>
    <w:rsid w:val="00625C89"/>
    <w:rsid w:val="00626AA8"/>
    <w:rsid w:val="00626CAD"/>
    <w:rsid w:val="00633C4F"/>
    <w:rsid w:val="00633FCA"/>
    <w:rsid w:val="00637A07"/>
    <w:rsid w:val="00645FFB"/>
    <w:rsid w:val="00651742"/>
    <w:rsid w:val="00665D52"/>
    <w:rsid w:val="00671BD5"/>
    <w:rsid w:val="00672664"/>
    <w:rsid w:val="006805C1"/>
    <w:rsid w:val="006816EC"/>
    <w:rsid w:val="00690BE7"/>
    <w:rsid w:val="00694556"/>
    <w:rsid w:val="006B0D72"/>
    <w:rsid w:val="006B2643"/>
    <w:rsid w:val="006C4436"/>
    <w:rsid w:val="006E1A53"/>
    <w:rsid w:val="006F1DCB"/>
    <w:rsid w:val="007056AA"/>
    <w:rsid w:val="00714862"/>
    <w:rsid w:val="00722180"/>
    <w:rsid w:val="007222BE"/>
    <w:rsid w:val="00744F41"/>
    <w:rsid w:val="00747E0D"/>
    <w:rsid w:val="007631DC"/>
    <w:rsid w:val="0079036C"/>
    <w:rsid w:val="007954A8"/>
    <w:rsid w:val="007A24FE"/>
    <w:rsid w:val="007A35AA"/>
    <w:rsid w:val="007A7023"/>
    <w:rsid w:val="007D2063"/>
    <w:rsid w:val="007F1048"/>
    <w:rsid w:val="00817631"/>
    <w:rsid w:val="00820005"/>
    <w:rsid w:val="008309C6"/>
    <w:rsid w:val="00846D27"/>
    <w:rsid w:val="0085507D"/>
    <w:rsid w:val="008610A7"/>
    <w:rsid w:val="00866557"/>
    <w:rsid w:val="00876DF3"/>
    <w:rsid w:val="00877423"/>
    <w:rsid w:val="008E1332"/>
    <w:rsid w:val="00903896"/>
    <w:rsid w:val="0092650D"/>
    <w:rsid w:val="00927813"/>
    <w:rsid w:val="00944D13"/>
    <w:rsid w:val="00957C90"/>
    <w:rsid w:val="009622D6"/>
    <w:rsid w:val="00970454"/>
    <w:rsid w:val="00982696"/>
    <w:rsid w:val="009A6EF5"/>
    <w:rsid w:val="009B70F6"/>
    <w:rsid w:val="009C358E"/>
    <w:rsid w:val="009D196F"/>
    <w:rsid w:val="009E0263"/>
    <w:rsid w:val="00A257F0"/>
    <w:rsid w:val="00A267CF"/>
    <w:rsid w:val="00A43458"/>
    <w:rsid w:val="00A46ED4"/>
    <w:rsid w:val="00A7624A"/>
    <w:rsid w:val="00A97CE3"/>
    <w:rsid w:val="00AA589F"/>
    <w:rsid w:val="00AC4E19"/>
    <w:rsid w:val="00AD334D"/>
    <w:rsid w:val="00AF05CE"/>
    <w:rsid w:val="00AF0CEF"/>
    <w:rsid w:val="00AF1ED6"/>
    <w:rsid w:val="00AF761F"/>
    <w:rsid w:val="00AF76AF"/>
    <w:rsid w:val="00B11731"/>
    <w:rsid w:val="00B16F38"/>
    <w:rsid w:val="00B32C61"/>
    <w:rsid w:val="00B368FE"/>
    <w:rsid w:val="00B57AF7"/>
    <w:rsid w:val="00B80CBD"/>
    <w:rsid w:val="00B81BFA"/>
    <w:rsid w:val="00B92E19"/>
    <w:rsid w:val="00B96DCE"/>
    <w:rsid w:val="00BC3369"/>
    <w:rsid w:val="00BD3F08"/>
    <w:rsid w:val="00BE23BB"/>
    <w:rsid w:val="00BF77EE"/>
    <w:rsid w:val="00C32E0F"/>
    <w:rsid w:val="00C42BF9"/>
    <w:rsid w:val="00C5714B"/>
    <w:rsid w:val="00C83E56"/>
    <w:rsid w:val="00CC63CE"/>
    <w:rsid w:val="00CD5554"/>
    <w:rsid w:val="00CD6707"/>
    <w:rsid w:val="00CE7973"/>
    <w:rsid w:val="00CF184A"/>
    <w:rsid w:val="00CF47BE"/>
    <w:rsid w:val="00CF7CDC"/>
    <w:rsid w:val="00D117FB"/>
    <w:rsid w:val="00D319B3"/>
    <w:rsid w:val="00D33AB2"/>
    <w:rsid w:val="00D36A71"/>
    <w:rsid w:val="00D45F8A"/>
    <w:rsid w:val="00D466A1"/>
    <w:rsid w:val="00D46DCE"/>
    <w:rsid w:val="00D53924"/>
    <w:rsid w:val="00D60849"/>
    <w:rsid w:val="00D62F6E"/>
    <w:rsid w:val="00D9444E"/>
    <w:rsid w:val="00D96D8C"/>
    <w:rsid w:val="00DA457C"/>
    <w:rsid w:val="00DA755B"/>
    <w:rsid w:val="00DB5B39"/>
    <w:rsid w:val="00DC31D7"/>
    <w:rsid w:val="00DD193D"/>
    <w:rsid w:val="00DD337E"/>
    <w:rsid w:val="00DD3948"/>
    <w:rsid w:val="00DE6EBB"/>
    <w:rsid w:val="00E00B6F"/>
    <w:rsid w:val="00E016B9"/>
    <w:rsid w:val="00E02538"/>
    <w:rsid w:val="00E23AC6"/>
    <w:rsid w:val="00E310BE"/>
    <w:rsid w:val="00E44DDF"/>
    <w:rsid w:val="00E54642"/>
    <w:rsid w:val="00E971D1"/>
    <w:rsid w:val="00E97908"/>
    <w:rsid w:val="00EB25B3"/>
    <w:rsid w:val="00EE23A6"/>
    <w:rsid w:val="00EE640A"/>
    <w:rsid w:val="00EF3ED0"/>
    <w:rsid w:val="00F17E56"/>
    <w:rsid w:val="00F2241D"/>
    <w:rsid w:val="00F25CE8"/>
    <w:rsid w:val="00F37CCE"/>
    <w:rsid w:val="00F453DA"/>
    <w:rsid w:val="00F673F9"/>
    <w:rsid w:val="00F81DA6"/>
    <w:rsid w:val="00F9161F"/>
    <w:rsid w:val="00FF13F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2697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Title"/>
    <w:basedOn w:val="a"/>
    <w:link w:val="ae"/>
    <w:qFormat/>
    <w:rsid w:val="00CD5554"/>
    <w:pPr>
      <w:shd w:val="pct20" w:color="auto" w:fill="FFFFFF"/>
      <w:spacing w:line="480" w:lineRule="auto"/>
      <w:ind w:left="1701" w:hanging="1701"/>
      <w:jc w:val="center"/>
    </w:pPr>
    <w:rPr>
      <w:rFonts w:cs="Times New Roman"/>
      <w:b/>
      <w:bCs/>
      <w:noProof w:val="0"/>
      <w:sz w:val="20"/>
      <w:szCs w:val="28"/>
      <w:u w:val="single"/>
      <w:lang w:eastAsia="he-IL"/>
    </w:rPr>
  </w:style>
  <w:style w:type="character" w:customStyle="1" w:styleId="ae">
    <w:name w:val="כותרת טקסט תו"/>
    <w:basedOn w:val="a0"/>
    <w:link w:val="ad"/>
    <w:rsid w:val="00CD5554"/>
    <w:rPr>
      <w:b/>
      <w:bCs/>
      <w:szCs w:val="28"/>
      <w:u w:val="single"/>
      <w:shd w:val="pct20" w:color="auto" w:fill="FFFFFF"/>
      <w:lang w:eastAsia="he-IL"/>
    </w:rPr>
  </w:style>
  <w:style w:type="paragraph" w:styleId="af">
    <w:name w:val="List Paragraph"/>
    <w:basedOn w:val="a"/>
    <w:uiPriority w:val="34"/>
    <w:qFormat/>
    <w:rsid w:val="003C3ECB"/>
    <w:pPr>
      <w:ind w:left="720"/>
      <w:contextualSpacing/>
    </w:pPr>
  </w:style>
  <w:style w:type="paragraph" w:customStyle="1" w:styleId="FileNumber">
    <w:name w:val="File Number"/>
    <w:basedOn w:val="a"/>
    <w:rsid w:val="00B16F38"/>
    <w:pPr>
      <w:overflowPunct w:val="0"/>
      <w:autoSpaceDE w:val="0"/>
      <w:autoSpaceDN w:val="0"/>
      <w:adjustRightInd w:val="0"/>
      <w:spacing w:line="360" w:lineRule="auto"/>
      <w:jc w:val="right"/>
      <w:textAlignment w:val="baseline"/>
    </w:pPr>
    <w:rPr>
      <w:bCs/>
      <w:noProof w:val="0"/>
      <w:sz w:val="20"/>
    </w:rPr>
  </w:style>
  <w:style w:type="paragraph" w:customStyle="1" w:styleId="10">
    <w:name w:val="פיסקת רשימה1"/>
    <w:basedOn w:val="a"/>
    <w:qFormat/>
    <w:rsid w:val="008309C6"/>
    <w:pPr>
      <w:spacing w:line="360" w:lineRule="auto"/>
      <w:ind w:left="720"/>
      <w:contextualSpacing/>
      <w:jc w:val="both"/>
    </w:pPr>
    <w:rPr>
      <w:rFonts w:ascii="Century" w:eastAsia="Calibri" w:hAnsi="Century"/>
      <w:noProof w:val="0"/>
      <w:sz w:val="20"/>
    </w:rPr>
  </w:style>
  <w:style w:type="character" w:customStyle="1" w:styleId="11">
    <w:name w:val="ציטוט1 תו"/>
    <w:link w:val="12"/>
    <w:locked/>
    <w:rsid w:val="008309C6"/>
    <w:rPr>
      <w:rFonts w:ascii="Century" w:hAnsi="Century" w:cs="David"/>
      <w:szCs w:val="24"/>
    </w:rPr>
  </w:style>
  <w:style w:type="paragraph" w:customStyle="1" w:styleId="12">
    <w:name w:val="ציטוט1"/>
    <w:basedOn w:val="a"/>
    <w:link w:val="11"/>
    <w:rsid w:val="008309C6"/>
    <w:pPr>
      <w:ind w:left="1127" w:right="1276"/>
      <w:jc w:val="both"/>
    </w:pPr>
    <w:rPr>
      <w:rFonts w:ascii="Century" w:hAnsi="Century"/>
      <w:noProof w:val="0"/>
      <w:sz w:val="20"/>
    </w:rPr>
  </w:style>
  <w:style w:type="character" w:styleId="Hyperlink">
    <w:name w:val="Hyperlink"/>
    <w:rsid w:val="008309C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3502358">
      <w:bodyDiv w:val="1"/>
      <w:marLeft w:val="0"/>
      <w:marRight w:val="0"/>
      <w:marTop w:val="0"/>
      <w:marBottom w:val="0"/>
      <w:divBdr>
        <w:top w:val="none" w:sz="0" w:space="0" w:color="auto"/>
        <w:left w:val="none" w:sz="0" w:space="0" w:color="auto"/>
        <w:bottom w:val="none" w:sz="0" w:space="0" w:color="auto"/>
        <w:right w:val="none" w:sz="0" w:space="0" w:color="auto"/>
      </w:divBdr>
    </w:div>
    <w:div w:id="705982514">
      <w:bodyDiv w:val="1"/>
      <w:marLeft w:val="0"/>
      <w:marRight w:val="0"/>
      <w:marTop w:val="0"/>
      <w:marBottom w:val="0"/>
      <w:divBdr>
        <w:top w:val="none" w:sz="0" w:space="0" w:color="auto"/>
        <w:left w:val="none" w:sz="0" w:space="0" w:color="auto"/>
        <w:bottom w:val="none" w:sz="0" w:space="0" w:color="auto"/>
        <w:right w:val="none" w:sz="0" w:space="0" w:color="auto"/>
      </w:divBdr>
    </w:div>
    <w:div w:id="1154296603">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2532</Words>
  <Characters>12663</Characters>
  <Application>Microsoft Office Word</Application>
  <DocSecurity>12</DocSecurity>
  <Lines>105</Lines>
  <Paragraphs>30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2023-06-12T05:53:00Z</cp:lastPrinted>
  <dcterms:created xsi:type="dcterms:W3CDTF">2023-10-22T10:42:00Z</dcterms:created>
  <dcterms:modified xsi:type="dcterms:W3CDTF">2023-10-22T10:42:00Z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